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AFA" w14:textId="77777777" w:rsidR="004A5411" w:rsidRPr="000627BF" w:rsidRDefault="004A5411" w:rsidP="004A5411">
      <w:pPr>
        <w:pStyle w:val="Heading2"/>
        <w:spacing w:before="0"/>
        <w:jc w:val="both"/>
      </w:pPr>
      <w:bookmarkStart w:id="0" w:name="_Toc134044865"/>
      <w:r w:rsidRPr="000627BF">
        <w:t>POH 102: IMPACT OF PANDEMICS ON SOCIO-ECONOMIC SECTORS</w:t>
      </w:r>
      <w:bookmarkEnd w:id="0"/>
      <w:r w:rsidRPr="000627BF">
        <w:t xml:space="preserve"> </w:t>
      </w:r>
    </w:p>
    <w:p w14:paraId="2DA48907" w14:textId="77777777" w:rsidR="004A5411" w:rsidRDefault="004A5411" w:rsidP="004A5411">
      <w:pPr>
        <w:spacing w:after="0" w:line="360" w:lineRule="auto"/>
        <w:jc w:val="both"/>
        <w:rPr>
          <w:rFonts w:cs="Times New Roman"/>
          <w:b/>
          <w:szCs w:val="24"/>
        </w:rPr>
      </w:pPr>
    </w:p>
    <w:p w14:paraId="435E68D7" w14:textId="305AFCE4" w:rsidR="004A5411" w:rsidRPr="00E63992" w:rsidRDefault="004A5411" w:rsidP="004A5411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Module Overview</w:t>
      </w:r>
    </w:p>
    <w:p w14:paraId="17E8DD8B" w14:textId="77777777" w:rsidR="004A5411" w:rsidRDefault="004A5411" w:rsidP="004A5411">
      <w:pPr>
        <w:spacing w:after="0" w:line="360" w:lineRule="auto"/>
        <w:jc w:val="both"/>
        <w:rPr>
          <w:rFonts w:cs="Times New Roman"/>
        </w:rPr>
      </w:pPr>
      <w:r w:rsidRPr="447214F9">
        <w:rPr>
          <w:rFonts w:cs="Times New Roman"/>
        </w:rPr>
        <w:t xml:space="preserve">Identification of various economic sectors driving and affected by pandemics; </w:t>
      </w:r>
      <w:r>
        <w:rPr>
          <w:rFonts w:cs="Times New Roman"/>
        </w:rPr>
        <w:t xml:space="preserve">trade, agriculture, tourism, </w:t>
      </w:r>
      <w:r w:rsidRPr="447214F9">
        <w:rPr>
          <w:rFonts w:cs="Times New Roman"/>
        </w:rPr>
        <w:t xml:space="preserve">migration, wildlife: </w:t>
      </w:r>
      <w:r>
        <w:rPr>
          <w:rFonts w:cs="Times New Roman"/>
        </w:rPr>
        <w:t>d</w:t>
      </w:r>
      <w:r w:rsidRPr="447214F9">
        <w:rPr>
          <w:rFonts w:cs="Times New Roman"/>
        </w:rPr>
        <w:t>efinition of terms</w:t>
      </w:r>
      <w:r>
        <w:rPr>
          <w:rFonts w:cs="Times New Roman"/>
        </w:rPr>
        <w:t>,</w:t>
      </w:r>
      <w:r w:rsidRPr="447214F9">
        <w:rPr>
          <w:rFonts w:cs="Times New Roman"/>
        </w:rPr>
        <w:t xml:space="preserve">  and concepts;  </w:t>
      </w:r>
      <w:r>
        <w:rPr>
          <w:rFonts w:cs="Times New Roman"/>
        </w:rPr>
        <w:t>i</w:t>
      </w:r>
      <w:r w:rsidRPr="447214F9">
        <w:rPr>
          <w:rFonts w:cs="Times New Roman"/>
        </w:rPr>
        <w:t>nternational trade and migration, globali</w:t>
      </w:r>
      <w:r>
        <w:rPr>
          <w:rFonts w:cs="Times New Roman"/>
        </w:rPr>
        <w:t>z</w:t>
      </w:r>
      <w:r w:rsidRPr="447214F9">
        <w:rPr>
          <w:rFonts w:cs="Times New Roman"/>
        </w:rPr>
        <w:t>ation and its associated processes (crowding, poor sanitation, travel and trade, intensive food production practices, and ecologic change) increase in the threat of pathogen emergence; mechanisms by which ecologic change drives processes of pathogenic emergence, facilitates zoonotic transfers, induces mutation, and permits the globali</w:t>
      </w:r>
      <w:r>
        <w:rPr>
          <w:rFonts w:cs="Times New Roman"/>
        </w:rPr>
        <w:t>z</w:t>
      </w:r>
      <w:r w:rsidRPr="447214F9">
        <w:rPr>
          <w:rFonts w:cs="Times New Roman"/>
        </w:rPr>
        <w:t>ation of antimicrobial drug resistance; negative economic impact of infectious disease. Movement of goods/trade policy and regulatory environment; the WTO SPS agreement; EAC SPS protocol.</w:t>
      </w:r>
    </w:p>
    <w:p w14:paraId="5B87E460" w14:textId="77777777" w:rsidR="004A5411" w:rsidRPr="00F666AA" w:rsidRDefault="004A5411" w:rsidP="004A5411">
      <w:pPr>
        <w:spacing w:after="0" w:line="360" w:lineRule="auto"/>
        <w:jc w:val="both"/>
        <w:rPr>
          <w:rFonts w:cs="Times New Roman"/>
          <w:bCs/>
          <w:sz w:val="12"/>
          <w:szCs w:val="24"/>
        </w:rPr>
      </w:pPr>
    </w:p>
    <w:p w14:paraId="075130A3" w14:textId="77777777" w:rsidR="004A5411" w:rsidRDefault="004A5411" w:rsidP="004A5411">
      <w:pPr>
        <w:spacing w:after="0" w:line="360" w:lineRule="auto"/>
        <w:jc w:val="both"/>
        <w:rPr>
          <w:rFonts w:cs="Times New Roman"/>
        </w:rPr>
      </w:pPr>
      <w:r w:rsidRPr="518CD81C">
        <w:rPr>
          <w:rFonts w:cs="Times New Roman"/>
        </w:rPr>
        <w:t xml:space="preserve">Infectious </w:t>
      </w:r>
      <w:r w:rsidRPr="7247991C">
        <w:rPr>
          <w:rFonts w:cs="Times New Roman"/>
        </w:rPr>
        <w:t>disease s</w:t>
      </w:r>
      <w:r w:rsidRPr="518CD81C">
        <w:rPr>
          <w:rFonts w:cs="Times New Roman"/>
        </w:rPr>
        <w:t xml:space="preserve">pread by </w:t>
      </w:r>
      <w:r w:rsidRPr="0189D307">
        <w:rPr>
          <w:rFonts w:cs="Times New Roman"/>
        </w:rPr>
        <w:t>i</w:t>
      </w:r>
      <w:r w:rsidRPr="518CD81C">
        <w:rPr>
          <w:rFonts w:cs="Times New Roman"/>
        </w:rPr>
        <w:t xml:space="preserve">nternational </w:t>
      </w:r>
      <w:r w:rsidRPr="495BA090">
        <w:rPr>
          <w:rFonts w:cs="Times New Roman"/>
        </w:rPr>
        <w:t>t</w:t>
      </w:r>
      <w:r w:rsidRPr="518CD81C">
        <w:rPr>
          <w:rFonts w:cs="Times New Roman"/>
        </w:rPr>
        <w:t xml:space="preserve">rade; the SPS measures to reduce disease spread; Role of port </w:t>
      </w:r>
      <w:r w:rsidRPr="495BA090">
        <w:rPr>
          <w:rFonts w:cs="Times New Roman"/>
        </w:rPr>
        <w:t>h</w:t>
      </w:r>
      <w:r w:rsidRPr="518CD81C">
        <w:rPr>
          <w:rFonts w:cs="Times New Roman"/>
        </w:rPr>
        <w:t xml:space="preserve">ealth, </w:t>
      </w:r>
      <w:r w:rsidRPr="4425FACD">
        <w:rPr>
          <w:rFonts w:cs="Times New Roman"/>
        </w:rPr>
        <w:t>i</w:t>
      </w:r>
      <w:r w:rsidRPr="518CD81C">
        <w:rPr>
          <w:rFonts w:cs="Times New Roman"/>
        </w:rPr>
        <w:t xml:space="preserve">mmigration and customs; </w:t>
      </w:r>
      <w:r>
        <w:rPr>
          <w:rFonts w:cs="Times New Roman"/>
        </w:rPr>
        <w:t>t</w:t>
      </w:r>
      <w:r w:rsidRPr="518CD81C">
        <w:rPr>
          <w:rFonts w:cs="Times New Roman"/>
        </w:rPr>
        <w:t xml:space="preserve">he impact of disease on trade; trade embargoes; </w:t>
      </w:r>
      <w:r>
        <w:rPr>
          <w:rFonts w:cs="Times New Roman"/>
        </w:rPr>
        <w:t>t</w:t>
      </w:r>
      <w:r w:rsidRPr="518CD81C">
        <w:rPr>
          <w:rFonts w:cs="Times New Roman"/>
        </w:rPr>
        <w:t>rade-</w:t>
      </w:r>
      <w:r w:rsidRPr="4D617467">
        <w:rPr>
          <w:rFonts w:cs="Times New Roman"/>
        </w:rPr>
        <w:t>related a</w:t>
      </w:r>
      <w:r w:rsidRPr="518CD81C">
        <w:rPr>
          <w:rFonts w:cs="Times New Roman"/>
        </w:rPr>
        <w:t xml:space="preserve">spects of </w:t>
      </w:r>
      <w:r w:rsidRPr="4E95B0F3">
        <w:rPr>
          <w:rFonts w:cs="Times New Roman"/>
        </w:rPr>
        <w:t>intellectual p</w:t>
      </w:r>
      <w:r w:rsidRPr="518CD81C">
        <w:rPr>
          <w:rFonts w:cs="Times New Roman"/>
        </w:rPr>
        <w:t xml:space="preserve">roperty </w:t>
      </w:r>
      <w:r w:rsidRPr="3BD0C7F5">
        <w:rPr>
          <w:rFonts w:cs="Times New Roman"/>
        </w:rPr>
        <w:t>r</w:t>
      </w:r>
      <w:r w:rsidRPr="518CD81C">
        <w:rPr>
          <w:rFonts w:cs="Times New Roman"/>
        </w:rPr>
        <w:t xml:space="preserve">ights of the World Trade Organization (WTO); </w:t>
      </w:r>
      <w:r w:rsidRPr="12B61CE3">
        <w:rPr>
          <w:rFonts w:cs="Times New Roman"/>
        </w:rPr>
        <w:t>G</w:t>
      </w:r>
      <w:r w:rsidRPr="518CD81C">
        <w:rPr>
          <w:rFonts w:cs="Times New Roman"/>
        </w:rPr>
        <w:t xml:space="preserve">lobal pathogen surveillance, diagnostic, and response networks; International </w:t>
      </w:r>
      <w:r w:rsidRPr="5791486C">
        <w:rPr>
          <w:rFonts w:cs="Times New Roman"/>
        </w:rPr>
        <w:t>p</w:t>
      </w:r>
      <w:r w:rsidRPr="518CD81C">
        <w:rPr>
          <w:rFonts w:cs="Times New Roman"/>
        </w:rPr>
        <w:t xml:space="preserve">olitics and international relations and public health; Promotion </w:t>
      </w:r>
      <w:r w:rsidRPr="4E8CB218">
        <w:rPr>
          <w:rFonts w:cs="Times New Roman"/>
        </w:rPr>
        <w:t xml:space="preserve">of </w:t>
      </w:r>
      <w:r w:rsidRPr="66490AE0">
        <w:rPr>
          <w:rFonts w:cs="Times New Roman"/>
        </w:rPr>
        <w:t>s</w:t>
      </w:r>
      <w:r w:rsidRPr="4E8CB218">
        <w:rPr>
          <w:rFonts w:cs="Times New Roman"/>
        </w:rPr>
        <w:t>afe</w:t>
      </w:r>
      <w:r w:rsidRPr="518CD81C">
        <w:rPr>
          <w:rFonts w:cs="Times New Roman"/>
        </w:rPr>
        <w:t xml:space="preserve"> trade; Port </w:t>
      </w:r>
      <w:r w:rsidRPr="66490AE0">
        <w:rPr>
          <w:rFonts w:cs="Times New Roman"/>
        </w:rPr>
        <w:t>h</w:t>
      </w:r>
      <w:r w:rsidRPr="518CD81C">
        <w:rPr>
          <w:rFonts w:cs="Times New Roman"/>
        </w:rPr>
        <w:t>ealth;</w:t>
      </w:r>
      <w:r w:rsidRPr="06D35505">
        <w:rPr>
          <w:rFonts w:cs="Times New Roman"/>
        </w:rPr>
        <w:t xml:space="preserve"> </w:t>
      </w:r>
      <w:r w:rsidRPr="518CD81C">
        <w:rPr>
          <w:rFonts w:cs="Times New Roman"/>
        </w:rPr>
        <w:t>Border control and quarantine. PESTEL (Political, economic, social, technological, eco</w:t>
      </w:r>
      <w:r>
        <w:rPr>
          <w:rFonts w:cs="Times New Roman"/>
        </w:rPr>
        <w:t>logical and legal).</w:t>
      </w:r>
    </w:p>
    <w:p w14:paraId="50C3970F" w14:textId="77777777" w:rsidR="004A5411" w:rsidRPr="00F666AA" w:rsidRDefault="004A5411" w:rsidP="004A5411">
      <w:pPr>
        <w:spacing w:after="0" w:line="360" w:lineRule="auto"/>
        <w:jc w:val="both"/>
        <w:rPr>
          <w:rFonts w:cs="Times New Roman"/>
          <w:bCs/>
          <w:sz w:val="8"/>
          <w:szCs w:val="24"/>
        </w:rPr>
      </w:pPr>
    </w:p>
    <w:p w14:paraId="7A86FCFA" w14:textId="77777777" w:rsidR="004A5411" w:rsidRDefault="004A5411" w:rsidP="004A5411">
      <w:pPr>
        <w:spacing w:after="0" w:line="360" w:lineRule="auto"/>
        <w:jc w:val="both"/>
        <w:rPr>
          <w:rFonts w:cs="Times New Roman"/>
        </w:rPr>
      </w:pPr>
      <w:r w:rsidRPr="6AC67C13">
        <w:rPr>
          <w:rFonts w:cs="Times New Roman"/>
        </w:rPr>
        <w:t>Globali</w:t>
      </w:r>
      <w:r>
        <w:rPr>
          <w:rFonts w:cs="Times New Roman"/>
        </w:rPr>
        <w:t>z</w:t>
      </w:r>
      <w:r w:rsidRPr="6AC67C13">
        <w:rPr>
          <w:rFonts w:cs="Times New Roman"/>
        </w:rPr>
        <w:t xml:space="preserve">ation and spread of epidemics; </w:t>
      </w:r>
      <w:r w:rsidRPr="0E18921B">
        <w:rPr>
          <w:rFonts w:cs="Times New Roman"/>
        </w:rPr>
        <w:t>M</w:t>
      </w:r>
      <w:r w:rsidRPr="6AC67C13">
        <w:rPr>
          <w:rFonts w:cs="Times New Roman"/>
        </w:rPr>
        <w:t xml:space="preserve">assive movement from rural areas to cities and poverty in peri-urban areas and epidemics. Global climate change and the spread of malaria, dengue fever and yellow fever. International regulations on trade, trade and movements, </w:t>
      </w:r>
      <w:r w:rsidRPr="053280F9">
        <w:rPr>
          <w:rFonts w:cs="Times New Roman"/>
        </w:rPr>
        <w:t>i</w:t>
      </w:r>
      <w:r w:rsidRPr="6AC67C13">
        <w:rPr>
          <w:rFonts w:cs="Times New Roman"/>
        </w:rPr>
        <w:t>nfections and aircraft</w:t>
      </w:r>
      <w:r w:rsidRPr="4D7FC6C8">
        <w:rPr>
          <w:rFonts w:cs="Times New Roman"/>
        </w:rPr>
        <w:t xml:space="preserve"> </w:t>
      </w:r>
      <w:r w:rsidRPr="6AC67C13">
        <w:rPr>
          <w:rFonts w:cs="Times New Roman"/>
        </w:rPr>
        <w:t>and travelers as an integral part of the global surveillance network for emerging infections.</w:t>
      </w:r>
    </w:p>
    <w:p w14:paraId="27A3FD8E" w14:textId="77777777" w:rsidR="004A5411" w:rsidRPr="00F666AA" w:rsidRDefault="004A5411" w:rsidP="004A5411">
      <w:pPr>
        <w:spacing w:after="0" w:line="360" w:lineRule="auto"/>
        <w:jc w:val="both"/>
        <w:rPr>
          <w:rFonts w:cs="Times New Roman"/>
          <w:bCs/>
          <w:sz w:val="12"/>
          <w:szCs w:val="24"/>
        </w:rPr>
      </w:pPr>
    </w:p>
    <w:p w14:paraId="5942F871" w14:textId="77777777" w:rsidR="004A5411" w:rsidRDefault="004A5411" w:rsidP="004A5411">
      <w:pPr>
        <w:spacing w:after="0" w:line="360" w:lineRule="auto"/>
        <w:jc w:val="both"/>
        <w:rPr>
          <w:rFonts w:cs="Times New Roman"/>
          <w:bCs/>
          <w:szCs w:val="24"/>
        </w:rPr>
      </w:pPr>
      <w:r w:rsidRPr="00566B42">
        <w:rPr>
          <w:rFonts w:cs="Times New Roman"/>
          <w:bCs/>
          <w:szCs w:val="24"/>
        </w:rPr>
        <w:t>Tourism and Wildlife: Spread of infectious pathogens; impact on tourism. Zoonosis; Wildlife exchange of pathogens, emerging and re-emerging diseases, wildlife, hu</w:t>
      </w:r>
      <w:r>
        <w:rPr>
          <w:rFonts w:cs="Times New Roman"/>
          <w:bCs/>
          <w:szCs w:val="24"/>
        </w:rPr>
        <w:t xml:space="preserve">man, and livestock interaction. </w:t>
      </w:r>
      <w:r w:rsidRPr="00566B42">
        <w:rPr>
          <w:rFonts w:cs="Times New Roman"/>
          <w:bCs/>
          <w:szCs w:val="24"/>
        </w:rPr>
        <w:t>Agriculture: Impact on the agriculture workforce; food and nutrition security</w:t>
      </w:r>
      <w:r>
        <w:rPr>
          <w:rFonts w:cs="Times New Roman"/>
          <w:bCs/>
          <w:szCs w:val="24"/>
        </w:rPr>
        <w:t>.</w:t>
      </w:r>
    </w:p>
    <w:p w14:paraId="7079EFB2" w14:textId="77777777" w:rsidR="004A5411" w:rsidRPr="00FB129D" w:rsidRDefault="004A5411" w:rsidP="004A5411">
      <w:pPr>
        <w:spacing w:after="0" w:line="360" w:lineRule="auto"/>
        <w:jc w:val="both"/>
        <w:rPr>
          <w:rFonts w:cs="Times New Roman"/>
          <w:b/>
          <w:szCs w:val="24"/>
        </w:rPr>
      </w:pPr>
      <w:bookmarkStart w:id="1" w:name="_GoBack"/>
      <w:bookmarkEnd w:id="1"/>
      <w:r>
        <w:rPr>
          <w:rFonts w:cs="Times New Roman"/>
          <w:b/>
          <w:szCs w:val="24"/>
        </w:rPr>
        <w:t>Mode of Delivery</w:t>
      </w:r>
    </w:p>
    <w:p w14:paraId="10ED6725" w14:textId="77777777" w:rsidR="004A5411" w:rsidRPr="00D124A8" w:rsidRDefault="004A5411" w:rsidP="004A5411">
      <w:pPr>
        <w:spacing w:after="0" w:line="360" w:lineRule="auto"/>
        <w:jc w:val="both"/>
        <w:rPr>
          <w:rFonts w:eastAsia="Times New Roman" w:cs="Times New Roman"/>
        </w:rPr>
      </w:pPr>
      <w:r w:rsidRPr="2046F7F3">
        <w:rPr>
          <w:rFonts w:eastAsia="Times New Roman" w:cs="Times New Roman"/>
        </w:rPr>
        <w:t>This includes lectures: problem-based learning using interactive tutorials, small group discussions and written assignments, plenary presentations; case studies, experiential learning through independent/reflective study and field visits and placements and online peer discussions using video clips and conferencing, case study and case series, tabletop exercises, field work.</w:t>
      </w:r>
    </w:p>
    <w:p w14:paraId="7E9AA412" w14:textId="77777777" w:rsidR="004A5411" w:rsidRDefault="004A5411" w:rsidP="004A5411">
      <w:pPr>
        <w:spacing w:after="0" w:line="360" w:lineRule="auto"/>
        <w:jc w:val="both"/>
        <w:rPr>
          <w:rFonts w:eastAsia="Times New Roman" w:cs="Times New Roman"/>
          <w:sz w:val="6"/>
          <w:szCs w:val="24"/>
        </w:rPr>
      </w:pPr>
    </w:p>
    <w:p w14:paraId="6CD4F5C5" w14:textId="77777777" w:rsidR="004A5411" w:rsidRPr="00FB129D" w:rsidRDefault="004A5411" w:rsidP="004A5411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Instructional Materials</w:t>
      </w:r>
    </w:p>
    <w:p w14:paraId="40E574DC" w14:textId="77777777" w:rsidR="004A5411" w:rsidRPr="00FB129D" w:rsidRDefault="004A5411" w:rsidP="004A5411">
      <w:pPr>
        <w:spacing w:after="0" w:line="360" w:lineRule="auto"/>
        <w:jc w:val="both"/>
        <w:rPr>
          <w:rFonts w:cs="Times New Roman"/>
          <w:b/>
        </w:rPr>
      </w:pPr>
      <w:r w:rsidRPr="2046F7F3">
        <w:rPr>
          <w:rFonts w:eastAsia="Times New Roman" w:cs="Times New Roman"/>
          <w:i/>
        </w:rPr>
        <w:lastRenderedPageBreak/>
        <w:t>Materials:</w:t>
      </w:r>
      <w:r w:rsidRPr="2046F7F3">
        <w:rPr>
          <w:rFonts w:eastAsia="Times New Roman" w:cs="Times New Roman"/>
        </w:rPr>
        <w:t xml:space="preserve"> Lecture notes and slides, video clips, handouts, case studies, reference materials (</w:t>
      </w:r>
      <w:r>
        <w:rPr>
          <w:rFonts w:eastAsia="Times New Roman" w:cs="Times New Roman"/>
        </w:rPr>
        <w:t>text-books</w:t>
      </w:r>
      <w:r w:rsidRPr="2046F7F3">
        <w:rPr>
          <w:rFonts w:eastAsia="Times New Roman" w:cs="Times New Roman"/>
        </w:rPr>
        <w:t xml:space="preserve">, journals, policy document-guidelines), institutional placements and field visits </w:t>
      </w:r>
    </w:p>
    <w:p w14:paraId="3DC10426" w14:textId="77777777" w:rsidR="004A5411" w:rsidRPr="006525D2" w:rsidRDefault="004A5411" w:rsidP="004A5411">
      <w:pPr>
        <w:spacing w:after="0" w:line="360" w:lineRule="auto"/>
        <w:jc w:val="both"/>
        <w:rPr>
          <w:rFonts w:eastAsia="Times New Roman" w:cs="Times New Roman"/>
        </w:rPr>
      </w:pPr>
      <w:r w:rsidRPr="2046F7F3">
        <w:rPr>
          <w:rFonts w:eastAsia="Times New Roman" w:cs="Times New Roman"/>
          <w:i/>
        </w:rPr>
        <w:t>Equipment:</w:t>
      </w:r>
      <w:r w:rsidRPr="2046F7F3">
        <w:rPr>
          <w:rFonts w:eastAsia="Times New Roman" w:cs="Times New Roman"/>
        </w:rPr>
        <w:t xml:space="preserve"> LCD projectors, laptops, white board, markers and flipcharts, LCD, p</w:t>
      </w:r>
      <w:r>
        <w:rPr>
          <w:rFonts w:eastAsia="Times New Roman" w:cs="Times New Roman"/>
        </w:rPr>
        <w:t>rinters</w:t>
      </w:r>
      <w:r w:rsidRPr="2046F7F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internet</w:t>
      </w:r>
      <w:r w:rsidRPr="2046F7F3">
        <w:rPr>
          <w:rFonts w:eastAsia="Times New Roman" w:cs="Times New Roman"/>
        </w:rPr>
        <w:t xml:space="preserve"> access for e-resources, PDAs, mobile phones.</w:t>
      </w:r>
    </w:p>
    <w:p w14:paraId="30C8F2AF" w14:textId="77777777" w:rsidR="004A5411" w:rsidRPr="000F5233" w:rsidRDefault="004A5411" w:rsidP="004A5411">
      <w:pPr>
        <w:spacing w:before="240" w:after="0" w:line="360" w:lineRule="auto"/>
        <w:jc w:val="both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Core Reference Materials </w:t>
      </w:r>
    </w:p>
    <w:p w14:paraId="2812E4FD" w14:textId="77777777" w:rsidR="004A5411" w:rsidRDefault="004A5411" w:rsidP="004A5411">
      <w:pPr>
        <w:numPr>
          <w:ilvl w:val="0"/>
          <w:numId w:val="1"/>
        </w:numPr>
        <w:spacing w:after="0"/>
        <w:jc w:val="both"/>
        <w:rPr>
          <w:rFonts w:cs="Times New Roman"/>
          <w:bCs/>
          <w:szCs w:val="24"/>
        </w:rPr>
      </w:pPr>
      <w:r w:rsidRPr="00E25089">
        <w:rPr>
          <w:rFonts w:cs="Times New Roman"/>
          <w:bCs/>
          <w:szCs w:val="24"/>
        </w:rPr>
        <w:t>Price-Smith A. (2008). Risky Trade: Infectious Disease in the Era of Global Trade. </w:t>
      </w:r>
      <w:r w:rsidRPr="00E25089">
        <w:rPr>
          <w:rFonts w:cs="Times New Roman"/>
          <w:bCs/>
          <w:i/>
          <w:iCs/>
          <w:szCs w:val="24"/>
        </w:rPr>
        <w:t>Emerging Infectious Diseases</w:t>
      </w:r>
      <w:r w:rsidRPr="00E25089">
        <w:rPr>
          <w:rFonts w:cs="Times New Roman"/>
          <w:bCs/>
          <w:szCs w:val="24"/>
        </w:rPr>
        <w:t>, </w:t>
      </w:r>
      <w:r w:rsidRPr="00E25089">
        <w:rPr>
          <w:rFonts w:cs="Times New Roman"/>
          <w:bCs/>
          <w:i/>
          <w:iCs/>
          <w:szCs w:val="24"/>
        </w:rPr>
        <w:t>14</w:t>
      </w:r>
      <w:r w:rsidRPr="00E25089">
        <w:rPr>
          <w:rFonts w:cs="Times New Roman"/>
          <w:bCs/>
          <w:szCs w:val="24"/>
        </w:rPr>
        <w:t xml:space="preserve">(10), 1678–1679. </w:t>
      </w:r>
      <w:hyperlink r:id="rId5" w:history="1">
        <w:r w:rsidRPr="00E25089">
          <w:rPr>
            <w:rStyle w:val="Hyperlink"/>
            <w:rFonts w:cs="Times New Roman"/>
            <w:bCs/>
            <w:szCs w:val="24"/>
          </w:rPr>
          <w:t>https://doi.org/10.3201/eid1410.080835</w:t>
        </w:r>
      </w:hyperlink>
    </w:p>
    <w:p w14:paraId="77E78756" w14:textId="77777777" w:rsidR="004A5411" w:rsidRPr="00927845" w:rsidRDefault="004A5411" w:rsidP="004A5411">
      <w:pPr>
        <w:numPr>
          <w:ilvl w:val="0"/>
          <w:numId w:val="1"/>
        </w:numPr>
        <w:spacing w:after="0"/>
        <w:jc w:val="both"/>
        <w:rPr>
          <w:rFonts w:cs="Times New Roman"/>
          <w:bCs/>
          <w:szCs w:val="24"/>
        </w:rPr>
      </w:pPr>
      <w:r w:rsidRPr="00927845">
        <w:rPr>
          <w:rFonts w:cs="Times New Roman"/>
          <w:bCs/>
          <w:szCs w:val="24"/>
        </w:rPr>
        <w:t xml:space="preserve">WHO Global Influenza </w:t>
      </w:r>
      <w:proofErr w:type="spellStart"/>
      <w:r w:rsidRPr="00927845">
        <w:rPr>
          <w:rFonts w:cs="Times New Roman"/>
          <w:bCs/>
          <w:szCs w:val="24"/>
        </w:rPr>
        <w:t>Programme</w:t>
      </w:r>
      <w:proofErr w:type="spellEnd"/>
      <w:r w:rsidRPr="00927845">
        <w:rPr>
          <w:rFonts w:cs="Times New Roman"/>
          <w:bCs/>
          <w:szCs w:val="24"/>
        </w:rPr>
        <w:t> &amp; World Health Organization. (‎2009</w:t>
      </w:r>
      <w:proofErr w:type="gramStart"/>
      <w:r w:rsidRPr="00927845">
        <w:rPr>
          <w:rFonts w:cs="Times New Roman"/>
          <w:bCs/>
          <w:szCs w:val="24"/>
        </w:rPr>
        <w:t>) ‎.</w:t>
      </w:r>
      <w:proofErr w:type="gramEnd"/>
      <w:r w:rsidRPr="00927845">
        <w:rPr>
          <w:rFonts w:cs="Times New Roman"/>
          <w:bCs/>
          <w:szCs w:val="24"/>
        </w:rPr>
        <w:t> Pandemic influenza preparedness and response: a WHO guidance document. World Health Organization. </w:t>
      </w:r>
      <w:hyperlink r:id="rId6" w:history="1">
        <w:r w:rsidRPr="00927845">
          <w:rPr>
            <w:rStyle w:val="Hyperlink"/>
            <w:rFonts w:cs="Times New Roman"/>
            <w:bCs/>
            <w:szCs w:val="24"/>
          </w:rPr>
          <w:t>https://apps.who.int/iris/handle/10665/44123</w:t>
        </w:r>
      </w:hyperlink>
    </w:p>
    <w:p w14:paraId="083FEEBF" w14:textId="77777777" w:rsidR="004A5411" w:rsidRPr="00E25089" w:rsidRDefault="004A5411" w:rsidP="004A5411">
      <w:pPr>
        <w:numPr>
          <w:ilvl w:val="0"/>
          <w:numId w:val="1"/>
        </w:numPr>
        <w:spacing w:after="0"/>
        <w:jc w:val="both"/>
        <w:rPr>
          <w:rFonts w:cs="Times New Roman"/>
          <w:bCs/>
          <w:szCs w:val="24"/>
        </w:rPr>
      </w:pPr>
      <w:r w:rsidRPr="00E25089">
        <w:rPr>
          <w:rFonts w:cs="Times New Roman"/>
          <w:bCs/>
          <w:szCs w:val="24"/>
        </w:rPr>
        <w:t xml:space="preserve">Blake, Adam &amp; Sinclair, </w:t>
      </w:r>
      <w:proofErr w:type="spellStart"/>
      <w:proofErr w:type="gramStart"/>
      <w:r w:rsidRPr="00E25089">
        <w:rPr>
          <w:rFonts w:cs="Times New Roman"/>
          <w:bCs/>
          <w:szCs w:val="24"/>
        </w:rPr>
        <w:t>M.Thea</w:t>
      </w:r>
      <w:proofErr w:type="spellEnd"/>
      <w:proofErr w:type="gramEnd"/>
      <w:r w:rsidRPr="00E25089">
        <w:rPr>
          <w:rFonts w:cs="Times New Roman"/>
          <w:bCs/>
          <w:szCs w:val="24"/>
        </w:rPr>
        <w:t xml:space="preserve">. (2003). Tourism Crisis Management: US Response to September 11. Annals of Tourism Research. 30. 813-832. 10.1016/S0160-7383(03)00056-2. </w:t>
      </w:r>
    </w:p>
    <w:p w14:paraId="17B6DCA5" w14:textId="77777777" w:rsidR="004A5411" w:rsidRPr="00E25089" w:rsidRDefault="004A5411" w:rsidP="004A5411">
      <w:pPr>
        <w:numPr>
          <w:ilvl w:val="0"/>
          <w:numId w:val="1"/>
        </w:numPr>
        <w:spacing w:after="0"/>
        <w:jc w:val="both"/>
        <w:rPr>
          <w:rFonts w:cs="Times New Roman"/>
          <w:bCs/>
          <w:szCs w:val="24"/>
        </w:rPr>
      </w:pPr>
      <w:proofErr w:type="spellStart"/>
      <w:r w:rsidRPr="00E25089">
        <w:rPr>
          <w:rFonts w:cs="Times New Roman"/>
          <w:szCs w:val="24"/>
        </w:rPr>
        <w:t>Breugelmans</w:t>
      </w:r>
      <w:proofErr w:type="spellEnd"/>
      <w:r w:rsidRPr="00E25089">
        <w:rPr>
          <w:rFonts w:cs="Times New Roman"/>
          <w:szCs w:val="24"/>
        </w:rPr>
        <w:t xml:space="preserve">, J. G., </w:t>
      </w:r>
      <w:proofErr w:type="spellStart"/>
      <w:r w:rsidRPr="00E25089">
        <w:rPr>
          <w:rFonts w:cs="Times New Roman"/>
          <w:szCs w:val="24"/>
        </w:rPr>
        <w:t>Zucs</w:t>
      </w:r>
      <w:proofErr w:type="spellEnd"/>
      <w:r w:rsidRPr="00E25089">
        <w:rPr>
          <w:rFonts w:cs="Times New Roman"/>
          <w:szCs w:val="24"/>
        </w:rPr>
        <w:t xml:space="preserve">, P., </w:t>
      </w:r>
      <w:proofErr w:type="spellStart"/>
      <w:r w:rsidRPr="00E25089">
        <w:rPr>
          <w:rFonts w:cs="Times New Roman"/>
          <w:szCs w:val="24"/>
        </w:rPr>
        <w:t>Porten</w:t>
      </w:r>
      <w:proofErr w:type="spellEnd"/>
      <w:r w:rsidRPr="00E25089">
        <w:rPr>
          <w:rFonts w:cs="Times New Roman"/>
          <w:szCs w:val="24"/>
        </w:rPr>
        <w:t xml:space="preserve">, K., </w:t>
      </w:r>
      <w:proofErr w:type="spellStart"/>
      <w:r w:rsidRPr="00E25089">
        <w:rPr>
          <w:rFonts w:cs="Times New Roman"/>
          <w:szCs w:val="24"/>
        </w:rPr>
        <w:t>Broll</w:t>
      </w:r>
      <w:proofErr w:type="spellEnd"/>
      <w:r w:rsidRPr="00E25089">
        <w:rPr>
          <w:rFonts w:cs="Times New Roman"/>
          <w:szCs w:val="24"/>
        </w:rPr>
        <w:t xml:space="preserve">, S., </w:t>
      </w:r>
      <w:proofErr w:type="spellStart"/>
      <w:r w:rsidRPr="00E25089">
        <w:rPr>
          <w:rFonts w:cs="Times New Roman"/>
          <w:szCs w:val="24"/>
        </w:rPr>
        <w:t>Niedrig</w:t>
      </w:r>
      <w:proofErr w:type="spellEnd"/>
      <w:r w:rsidRPr="00E25089">
        <w:rPr>
          <w:rFonts w:cs="Times New Roman"/>
          <w:szCs w:val="24"/>
        </w:rPr>
        <w:t>, M., Ammon, A., &amp; Krause, G. (2004). SARS transmission and commercial aircraft. </w:t>
      </w:r>
      <w:r w:rsidRPr="00E25089">
        <w:rPr>
          <w:rFonts w:cs="Times New Roman"/>
          <w:i/>
          <w:iCs/>
          <w:szCs w:val="24"/>
        </w:rPr>
        <w:t>Emerging infectious diseases</w:t>
      </w:r>
      <w:r w:rsidRPr="00E25089">
        <w:rPr>
          <w:rFonts w:cs="Times New Roman"/>
          <w:szCs w:val="24"/>
        </w:rPr>
        <w:t>, </w:t>
      </w:r>
      <w:r w:rsidRPr="00E25089">
        <w:rPr>
          <w:rFonts w:cs="Times New Roman"/>
          <w:i/>
          <w:iCs/>
          <w:szCs w:val="24"/>
        </w:rPr>
        <w:t>10</w:t>
      </w:r>
      <w:r w:rsidRPr="00E25089">
        <w:rPr>
          <w:rFonts w:cs="Times New Roman"/>
          <w:szCs w:val="24"/>
        </w:rPr>
        <w:t>(8), 1502.</w:t>
      </w:r>
    </w:p>
    <w:p w14:paraId="5D3B75D0" w14:textId="77777777" w:rsidR="004A5411" w:rsidRPr="00E25089" w:rsidRDefault="004A5411" w:rsidP="004A5411">
      <w:pPr>
        <w:pStyle w:val="ListParagraph"/>
        <w:numPr>
          <w:ilvl w:val="0"/>
          <w:numId w:val="1"/>
        </w:numPr>
        <w:shd w:val="clear" w:color="auto" w:fill="FFFFFF"/>
        <w:spacing w:after="160" w:line="300" w:lineRule="auto"/>
        <w:jc w:val="both"/>
        <w:rPr>
          <w:rFonts w:cs="Times New Roman"/>
          <w:szCs w:val="24"/>
        </w:rPr>
      </w:pPr>
      <w:r w:rsidRPr="00E25089">
        <w:rPr>
          <w:rFonts w:cs="Times New Roman"/>
          <w:bCs/>
          <w:szCs w:val="24"/>
        </w:rPr>
        <w:t>Brownstein, J. S., Wolfe, C. J., &amp; Mandl, K. D. (2006). Empirical evidence for the effect of airline travel on inter-regional influenza spread in the United States. </w:t>
      </w:r>
      <w:proofErr w:type="spellStart"/>
      <w:r w:rsidRPr="00E25089">
        <w:rPr>
          <w:rFonts w:cs="Times New Roman"/>
          <w:bCs/>
          <w:i/>
          <w:iCs/>
          <w:szCs w:val="24"/>
        </w:rPr>
        <w:t>PLoS</w:t>
      </w:r>
      <w:proofErr w:type="spellEnd"/>
      <w:r w:rsidRPr="00E25089">
        <w:rPr>
          <w:rFonts w:cs="Times New Roman"/>
          <w:bCs/>
          <w:i/>
          <w:iCs/>
          <w:szCs w:val="24"/>
        </w:rPr>
        <w:t xml:space="preserve"> medicine</w:t>
      </w:r>
      <w:r w:rsidRPr="00E25089">
        <w:rPr>
          <w:rFonts w:cs="Times New Roman"/>
          <w:bCs/>
          <w:szCs w:val="24"/>
        </w:rPr>
        <w:t>, </w:t>
      </w:r>
      <w:r w:rsidRPr="00E25089">
        <w:rPr>
          <w:rFonts w:cs="Times New Roman"/>
          <w:bCs/>
          <w:i/>
          <w:iCs/>
          <w:szCs w:val="24"/>
        </w:rPr>
        <w:t>3</w:t>
      </w:r>
      <w:r w:rsidRPr="00E25089">
        <w:rPr>
          <w:rFonts w:cs="Times New Roman"/>
          <w:bCs/>
          <w:szCs w:val="24"/>
        </w:rPr>
        <w:t>(10), e401.</w:t>
      </w:r>
    </w:p>
    <w:p w14:paraId="4D239E87" w14:textId="77777777" w:rsidR="004A5411" w:rsidRPr="00E25089" w:rsidRDefault="004A5411" w:rsidP="004A5411">
      <w:pPr>
        <w:pStyle w:val="ListParagraph"/>
        <w:numPr>
          <w:ilvl w:val="0"/>
          <w:numId w:val="1"/>
        </w:numPr>
        <w:shd w:val="clear" w:color="auto" w:fill="FFFFFF"/>
        <w:spacing w:after="160"/>
        <w:jc w:val="both"/>
        <w:rPr>
          <w:rFonts w:cs="Times New Roman"/>
          <w:szCs w:val="24"/>
        </w:rPr>
      </w:pPr>
      <w:proofErr w:type="spellStart"/>
      <w:r w:rsidRPr="00E25089">
        <w:rPr>
          <w:rFonts w:cs="Times New Roman"/>
          <w:szCs w:val="24"/>
        </w:rPr>
        <w:t>Charrel</w:t>
      </w:r>
      <w:proofErr w:type="spellEnd"/>
      <w:r w:rsidRPr="00E25089">
        <w:rPr>
          <w:rFonts w:cs="Times New Roman"/>
          <w:szCs w:val="24"/>
        </w:rPr>
        <w:t xml:space="preserve"> RN, de </w:t>
      </w:r>
      <w:proofErr w:type="spellStart"/>
      <w:r w:rsidRPr="00E25089">
        <w:rPr>
          <w:rFonts w:cs="Times New Roman"/>
          <w:szCs w:val="24"/>
        </w:rPr>
        <w:t>Lamballerie</w:t>
      </w:r>
      <w:proofErr w:type="spellEnd"/>
      <w:r w:rsidRPr="00E25089">
        <w:rPr>
          <w:rFonts w:cs="Times New Roman"/>
          <w:szCs w:val="24"/>
        </w:rPr>
        <w:t xml:space="preserve"> X, </w:t>
      </w:r>
      <w:proofErr w:type="spellStart"/>
      <w:r w:rsidRPr="00E25089">
        <w:rPr>
          <w:rFonts w:cs="Times New Roman"/>
          <w:szCs w:val="24"/>
        </w:rPr>
        <w:t>Raoult</w:t>
      </w:r>
      <w:proofErr w:type="spellEnd"/>
      <w:r w:rsidRPr="00E25089">
        <w:rPr>
          <w:rFonts w:cs="Times New Roman"/>
          <w:szCs w:val="24"/>
        </w:rPr>
        <w:t xml:space="preserve"> D. Chikungunya outbreaks--the globalization of </w:t>
      </w:r>
      <w:proofErr w:type="spellStart"/>
      <w:r w:rsidRPr="00E25089">
        <w:rPr>
          <w:rFonts w:cs="Times New Roman"/>
          <w:szCs w:val="24"/>
        </w:rPr>
        <w:t>vectorborne</w:t>
      </w:r>
      <w:proofErr w:type="spellEnd"/>
      <w:r w:rsidRPr="00E25089">
        <w:rPr>
          <w:rFonts w:cs="Times New Roman"/>
          <w:szCs w:val="24"/>
        </w:rPr>
        <w:t xml:space="preserve"> diseases. N </w:t>
      </w:r>
      <w:proofErr w:type="spellStart"/>
      <w:r w:rsidRPr="00E25089">
        <w:rPr>
          <w:rFonts w:cs="Times New Roman"/>
          <w:szCs w:val="24"/>
        </w:rPr>
        <w:t>Engl</w:t>
      </w:r>
      <w:proofErr w:type="spellEnd"/>
      <w:r w:rsidRPr="00E25089">
        <w:rPr>
          <w:rFonts w:cs="Times New Roman"/>
          <w:szCs w:val="24"/>
        </w:rPr>
        <w:t xml:space="preserve"> J Med. 2007 Feb 22;356(8):769-71. </w:t>
      </w:r>
      <w:proofErr w:type="spellStart"/>
      <w:r w:rsidRPr="00E25089">
        <w:rPr>
          <w:rFonts w:cs="Times New Roman"/>
          <w:szCs w:val="24"/>
        </w:rPr>
        <w:t>doi</w:t>
      </w:r>
      <w:proofErr w:type="spellEnd"/>
      <w:r w:rsidRPr="00E25089">
        <w:rPr>
          <w:rFonts w:cs="Times New Roman"/>
          <w:szCs w:val="24"/>
        </w:rPr>
        <w:t>: 10.1056/NEJMp078013. PMID: 17314335.</w:t>
      </w:r>
    </w:p>
    <w:p w14:paraId="6A858572" w14:textId="77777777" w:rsidR="004A5411" w:rsidRPr="00E25089" w:rsidRDefault="004A5411" w:rsidP="004A5411">
      <w:pPr>
        <w:pStyle w:val="ListParagraph"/>
        <w:numPr>
          <w:ilvl w:val="0"/>
          <w:numId w:val="1"/>
        </w:numPr>
        <w:shd w:val="clear" w:color="auto" w:fill="FFFFFF"/>
        <w:spacing w:before="240" w:after="160"/>
        <w:jc w:val="both"/>
        <w:rPr>
          <w:rFonts w:cs="Times New Roman"/>
          <w:szCs w:val="24"/>
        </w:rPr>
      </w:pPr>
      <w:r w:rsidRPr="00E25089">
        <w:rPr>
          <w:rFonts w:cs="Times New Roman"/>
          <w:szCs w:val="24"/>
        </w:rPr>
        <w:t>Correia, J. D., Shafer, R. T., Patel, V., &amp; Kain, K. C. (2001). Blood and body fluid exposure as a health risk for international travelers. </w:t>
      </w:r>
      <w:r w:rsidRPr="00E25089">
        <w:rPr>
          <w:rFonts w:cs="Times New Roman"/>
          <w:i/>
          <w:iCs/>
          <w:szCs w:val="24"/>
        </w:rPr>
        <w:t>Journal of travel medicine</w:t>
      </w:r>
      <w:r w:rsidRPr="00E25089">
        <w:rPr>
          <w:rFonts w:cs="Times New Roman"/>
          <w:szCs w:val="24"/>
        </w:rPr>
        <w:t>, </w:t>
      </w:r>
      <w:r w:rsidRPr="00E25089">
        <w:rPr>
          <w:rFonts w:cs="Times New Roman"/>
          <w:i/>
          <w:iCs/>
          <w:szCs w:val="24"/>
        </w:rPr>
        <w:t>8</w:t>
      </w:r>
      <w:r w:rsidRPr="00E25089">
        <w:rPr>
          <w:rFonts w:cs="Times New Roman"/>
          <w:szCs w:val="24"/>
        </w:rPr>
        <w:t>(5), 263.</w:t>
      </w:r>
    </w:p>
    <w:p w14:paraId="1F5D4F8A" w14:textId="77777777" w:rsidR="004A5411" w:rsidRPr="00E25089" w:rsidRDefault="004A5411" w:rsidP="004A5411">
      <w:pPr>
        <w:pStyle w:val="ListParagraph"/>
        <w:numPr>
          <w:ilvl w:val="0"/>
          <w:numId w:val="1"/>
        </w:numPr>
        <w:shd w:val="clear" w:color="auto" w:fill="FFFFFF"/>
        <w:spacing w:before="240" w:after="160"/>
        <w:jc w:val="both"/>
        <w:rPr>
          <w:rFonts w:cs="Times New Roman"/>
          <w:szCs w:val="24"/>
        </w:rPr>
      </w:pPr>
      <w:r w:rsidRPr="00E25089">
        <w:rPr>
          <w:rFonts w:cs="Times New Roman"/>
          <w:szCs w:val="24"/>
        </w:rPr>
        <w:t>International Organization for Migration (IOM) 2021 -Health, Border &amp; Mobility Management Framework: A Framework for Empowering Governments and Communities to Prevent, Detect and Respond to Health Threats Along the Mobility Continuum. Health</w:t>
      </w:r>
    </w:p>
    <w:p w14:paraId="59C134E7" w14:textId="77777777" w:rsidR="004A5411" w:rsidRPr="00E25089" w:rsidRDefault="004A5411" w:rsidP="004A5411">
      <w:pPr>
        <w:pStyle w:val="ListParagraph"/>
        <w:numPr>
          <w:ilvl w:val="0"/>
          <w:numId w:val="1"/>
        </w:numPr>
        <w:shd w:val="clear" w:color="auto" w:fill="FFFFFF"/>
        <w:spacing w:before="240" w:after="160"/>
        <w:jc w:val="both"/>
        <w:rPr>
          <w:rFonts w:cs="Times New Roman"/>
          <w:szCs w:val="24"/>
        </w:rPr>
      </w:pPr>
      <w:r w:rsidRPr="00E25089">
        <w:rPr>
          <w:rFonts w:cs="Times New Roman"/>
          <w:szCs w:val="24"/>
        </w:rPr>
        <w:t xml:space="preserve">African Centre for Migration &amp; </w:t>
      </w:r>
      <w:proofErr w:type="spellStart"/>
      <w:proofErr w:type="gramStart"/>
      <w:r w:rsidRPr="00E25089">
        <w:rPr>
          <w:rFonts w:cs="Times New Roman"/>
          <w:szCs w:val="24"/>
        </w:rPr>
        <w:t>Society,University</w:t>
      </w:r>
      <w:proofErr w:type="spellEnd"/>
      <w:proofErr w:type="gramEnd"/>
      <w:r w:rsidRPr="00E25089">
        <w:rPr>
          <w:rFonts w:cs="Times New Roman"/>
          <w:szCs w:val="24"/>
        </w:rPr>
        <w:t xml:space="preserve"> of the Witwatersrand and Samuel Hall. (2018). Free and Safe Movement in East Africa; Research to promote people’s safe and unencumbered movement across international borders. Cape Town: African Minds.</w:t>
      </w:r>
    </w:p>
    <w:p w14:paraId="64175E9A" w14:textId="77777777" w:rsidR="004A5411" w:rsidRPr="00E25089" w:rsidRDefault="004A5411" w:rsidP="004A5411">
      <w:pPr>
        <w:pStyle w:val="ListParagraph"/>
        <w:shd w:val="clear" w:color="auto" w:fill="FFFFFF"/>
        <w:spacing w:before="240" w:after="160" w:line="259" w:lineRule="auto"/>
        <w:ind w:left="0" w:firstLine="90"/>
        <w:jc w:val="both"/>
        <w:rPr>
          <w:rFonts w:cs="Times New Roman"/>
          <w:b/>
          <w:szCs w:val="24"/>
        </w:rPr>
      </w:pPr>
    </w:p>
    <w:p w14:paraId="6F952E3B" w14:textId="77777777" w:rsidR="004A5411" w:rsidRPr="00E25089" w:rsidRDefault="004A5411" w:rsidP="004A5411">
      <w:pPr>
        <w:pStyle w:val="ListParagraph"/>
        <w:shd w:val="clear" w:color="auto" w:fill="FFFFFF"/>
        <w:spacing w:before="240" w:after="160" w:line="259" w:lineRule="auto"/>
        <w:ind w:left="0" w:firstLine="9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Recommend</w:t>
      </w:r>
      <w:r w:rsidRPr="00E25089">
        <w:rPr>
          <w:rFonts w:cs="Times New Roman"/>
          <w:b/>
          <w:szCs w:val="24"/>
        </w:rPr>
        <w:t>ed Reference Materials</w:t>
      </w:r>
    </w:p>
    <w:p w14:paraId="491B8A0A" w14:textId="77777777" w:rsidR="004A5411" w:rsidRPr="00E25089" w:rsidRDefault="004A5411" w:rsidP="004A5411">
      <w:pPr>
        <w:pStyle w:val="ListParagraph"/>
        <w:numPr>
          <w:ilvl w:val="0"/>
          <w:numId w:val="2"/>
        </w:numPr>
        <w:shd w:val="clear" w:color="auto" w:fill="FFFFFF"/>
        <w:spacing w:before="240" w:after="160" w:line="300" w:lineRule="auto"/>
        <w:rPr>
          <w:rFonts w:cs="Times New Roman"/>
          <w:szCs w:val="24"/>
        </w:rPr>
      </w:pPr>
      <w:proofErr w:type="spellStart"/>
      <w:r w:rsidRPr="00E25089">
        <w:rPr>
          <w:rFonts w:cs="Times New Roman"/>
          <w:color w:val="222222"/>
          <w:szCs w:val="24"/>
          <w:shd w:val="clear" w:color="auto" w:fill="FFFFFF"/>
        </w:rPr>
        <w:t>Daszak</w:t>
      </w:r>
      <w:proofErr w:type="spellEnd"/>
      <w:r w:rsidRPr="00E25089">
        <w:rPr>
          <w:rFonts w:cs="Times New Roman"/>
          <w:color w:val="222222"/>
          <w:szCs w:val="24"/>
          <w:shd w:val="clear" w:color="auto" w:fill="FFFFFF"/>
        </w:rPr>
        <w:t>, P., Cunningham, A. A., &amp; Hyatt, A. D. (2000). Emerging infectious diseases of wildlife--threats to biodiversity and human health. </w:t>
      </w:r>
      <w:r w:rsidRPr="00E25089">
        <w:rPr>
          <w:rFonts w:cs="Times New Roman"/>
          <w:i/>
          <w:iCs/>
          <w:color w:val="222222"/>
          <w:szCs w:val="24"/>
          <w:shd w:val="clear" w:color="auto" w:fill="FFFFFF"/>
        </w:rPr>
        <w:t>science</w:t>
      </w:r>
      <w:r w:rsidRPr="00E25089">
        <w:rPr>
          <w:rFonts w:cs="Times New Roman"/>
          <w:color w:val="222222"/>
          <w:szCs w:val="24"/>
          <w:shd w:val="clear" w:color="auto" w:fill="FFFFFF"/>
        </w:rPr>
        <w:t>, </w:t>
      </w:r>
      <w:r w:rsidRPr="00E25089">
        <w:rPr>
          <w:rFonts w:cs="Times New Roman"/>
          <w:i/>
          <w:iCs/>
          <w:color w:val="222222"/>
          <w:szCs w:val="24"/>
          <w:shd w:val="clear" w:color="auto" w:fill="FFFFFF"/>
        </w:rPr>
        <w:t>287</w:t>
      </w:r>
      <w:r w:rsidRPr="00E25089">
        <w:rPr>
          <w:rFonts w:cs="Times New Roman"/>
          <w:color w:val="222222"/>
          <w:szCs w:val="24"/>
          <w:shd w:val="clear" w:color="auto" w:fill="FFFFFF"/>
        </w:rPr>
        <w:t>(5452), 443-449.</w:t>
      </w:r>
    </w:p>
    <w:p w14:paraId="5457A658" w14:textId="2E8F4C7F" w:rsidR="004B2B29" w:rsidRPr="004A5411" w:rsidRDefault="004A5411" w:rsidP="004A5411">
      <w:pPr>
        <w:pStyle w:val="ListParagraph"/>
        <w:numPr>
          <w:ilvl w:val="0"/>
          <w:numId w:val="2"/>
        </w:numPr>
        <w:shd w:val="clear" w:color="auto" w:fill="FFFFFF"/>
        <w:spacing w:before="240" w:after="160" w:line="300" w:lineRule="auto"/>
        <w:rPr>
          <w:rFonts w:cs="Times New Roman"/>
          <w:szCs w:val="24"/>
        </w:rPr>
      </w:pPr>
      <w:r w:rsidRPr="00E25089">
        <w:rPr>
          <w:rFonts w:cs="Times New Roman"/>
          <w:color w:val="222222"/>
          <w:szCs w:val="24"/>
          <w:shd w:val="clear" w:color="auto" w:fill="FFFFFF"/>
        </w:rPr>
        <w:t xml:space="preserve">Dimanche, F., &amp; </w:t>
      </w:r>
      <w:proofErr w:type="spellStart"/>
      <w:r w:rsidRPr="00E25089">
        <w:rPr>
          <w:rFonts w:cs="Times New Roman"/>
          <w:color w:val="222222"/>
          <w:szCs w:val="24"/>
          <w:shd w:val="clear" w:color="auto" w:fill="FFFFFF"/>
        </w:rPr>
        <w:t>Lepetic</w:t>
      </w:r>
      <w:proofErr w:type="spellEnd"/>
      <w:r w:rsidRPr="00E25089">
        <w:rPr>
          <w:rFonts w:cs="Times New Roman"/>
          <w:color w:val="222222"/>
          <w:szCs w:val="24"/>
          <w:shd w:val="clear" w:color="auto" w:fill="FFFFFF"/>
        </w:rPr>
        <w:t>, A. (1999). New Orleans tourism and crime: A case study. </w:t>
      </w:r>
      <w:r w:rsidRPr="00E25089">
        <w:rPr>
          <w:rFonts w:cs="Times New Roman"/>
          <w:i/>
          <w:iCs/>
          <w:color w:val="222222"/>
          <w:szCs w:val="24"/>
          <w:shd w:val="clear" w:color="auto" w:fill="FFFFFF"/>
        </w:rPr>
        <w:t>Journal of travel research</w:t>
      </w:r>
      <w:r w:rsidRPr="00E25089">
        <w:rPr>
          <w:rFonts w:cs="Times New Roman"/>
          <w:color w:val="222222"/>
          <w:szCs w:val="24"/>
          <w:shd w:val="clear" w:color="auto" w:fill="FFFFFF"/>
        </w:rPr>
        <w:t>, </w:t>
      </w:r>
      <w:r w:rsidRPr="00E25089">
        <w:rPr>
          <w:rFonts w:cs="Times New Roman"/>
          <w:i/>
          <w:iCs/>
          <w:color w:val="222222"/>
          <w:szCs w:val="24"/>
          <w:shd w:val="clear" w:color="auto" w:fill="FFFFFF"/>
        </w:rPr>
        <w:t>38</w:t>
      </w:r>
      <w:r w:rsidRPr="00E25089">
        <w:rPr>
          <w:rFonts w:cs="Times New Roman"/>
          <w:color w:val="222222"/>
          <w:szCs w:val="24"/>
          <w:shd w:val="clear" w:color="auto" w:fill="FFFFFF"/>
        </w:rPr>
        <w:t>(1), 19-23.</w:t>
      </w:r>
    </w:p>
    <w:sectPr w:rsidR="004B2B29" w:rsidRPr="004A5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9163C"/>
    <w:multiLevelType w:val="hybridMultilevel"/>
    <w:tmpl w:val="B70CB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294596"/>
    <w:multiLevelType w:val="hybridMultilevel"/>
    <w:tmpl w:val="62C6A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411"/>
    <w:rsid w:val="004A5411"/>
    <w:rsid w:val="004B2B29"/>
    <w:rsid w:val="00C55B5E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2AFCCB"/>
  <w15:chartTrackingRefBased/>
  <w15:docId w15:val="{259C54FB-C98F-417B-9A7B-1C4959F4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5411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A5411"/>
    <w:pPr>
      <w:ind w:left="720"/>
      <w:contextualSpacing/>
    </w:pPr>
  </w:style>
  <w:style w:type="character" w:styleId="Hyperlink">
    <w:name w:val="Hyperlink"/>
    <w:uiPriority w:val="99"/>
    <w:unhideWhenUsed/>
    <w:rsid w:val="004A5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who.int/iris/handle/10665/44123" TargetMode="External"/><Relationship Id="rId5" Type="http://schemas.openxmlformats.org/officeDocument/2006/relationships/hyperlink" Target="https://doi.org/10.3201/eid1410.0808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4281</Characters>
  <Application>Microsoft Office Word</Application>
  <DocSecurity>0</DocSecurity>
  <Lines>71</Lines>
  <Paragraphs>24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1</cp:revision>
  <dcterms:created xsi:type="dcterms:W3CDTF">2024-04-16T09:39:00Z</dcterms:created>
  <dcterms:modified xsi:type="dcterms:W3CDTF">2024-04-16T09:41:00Z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7dd8f515-9ad5-40d4-897b-5452dc290555</vt:lpwstr>
  </property>
</Properties>
</file>