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2DC8B3" w14:textId="77777777" w:rsidR="00C8091D" w:rsidRPr="00055B25" w:rsidRDefault="00C8091D" w:rsidP="00C8091D">
      <w:pPr>
        <w:pStyle w:val="Heading2"/>
        <w:rPr>
          <w:rFonts w:cs="Times New Roman"/>
          <w:szCs w:val="24"/>
        </w:rPr>
      </w:pPr>
      <w:bookmarkStart w:id="0" w:name="_Toc134044866"/>
      <w:r w:rsidRPr="000627BF">
        <w:t>POH 103: NATURE AND OCCURRENCE OF PANDEMICS</w:t>
      </w:r>
      <w:bookmarkEnd w:id="0"/>
      <w:r w:rsidRPr="000627BF">
        <w:t xml:space="preserve"> </w:t>
      </w:r>
    </w:p>
    <w:p w14:paraId="44D652A8" w14:textId="6024D69F" w:rsidR="00C8091D" w:rsidRPr="00C8091D" w:rsidRDefault="00C8091D" w:rsidP="00C8091D">
      <w:pPr>
        <w:spacing w:after="0" w:line="360" w:lineRule="auto"/>
        <w:jc w:val="both"/>
        <w:rPr>
          <w:rFonts w:cs="Times New Roman"/>
          <w:b/>
        </w:rPr>
      </w:pPr>
      <w:r w:rsidRPr="00C8091D">
        <w:rPr>
          <w:rFonts w:cs="Times New Roman"/>
          <w:b/>
        </w:rPr>
        <w:t xml:space="preserve">Module Overview </w:t>
      </w:r>
    </w:p>
    <w:p w14:paraId="718A5ADF" w14:textId="43C3B0F6" w:rsidR="00C8091D" w:rsidRDefault="00C8091D" w:rsidP="00C8091D">
      <w:pPr>
        <w:spacing w:after="0" w:line="360" w:lineRule="auto"/>
        <w:jc w:val="both"/>
        <w:rPr>
          <w:rFonts w:cs="Times New Roman"/>
          <w:b/>
          <w:szCs w:val="24"/>
        </w:rPr>
      </w:pPr>
      <w:r w:rsidRPr="2046F7F3">
        <w:rPr>
          <w:rFonts w:cs="Times New Roman"/>
        </w:rPr>
        <w:t>Definition of terms used in pandemics,</w:t>
      </w:r>
      <w:r w:rsidRPr="2046F7F3">
        <w:rPr>
          <w:rFonts w:eastAsia="Times New Roman" w:cs="Times New Roman"/>
          <w:color w:val="000000"/>
          <w:kern w:val="24"/>
        </w:rPr>
        <w:t xml:space="preserve"> e</w:t>
      </w:r>
      <w:r w:rsidRPr="2046F7F3">
        <w:rPr>
          <w:rFonts w:cs="Times New Roman"/>
        </w:rPr>
        <w:t>pidemiologic triad, host factors, agent factors,</w:t>
      </w:r>
      <w:r w:rsidRPr="2046F7F3">
        <w:rPr>
          <w:rFonts w:eastAsia="Times New Roman" w:cs="Times New Roman"/>
          <w:color w:val="000000"/>
          <w:kern w:val="24"/>
        </w:rPr>
        <w:t xml:space="preserve"> e</w:t>
      </w:r>
      <w:r w:rsidRPr="2046F7F3">
        <w:rPr>
          <w:rFonts w:cs="Times New Roman"/>
        </w:rPr>
        <w:t>nvironmental factors, the interrelationship between host, agent and environment, f</w:t>
      </w:r>
      <w:r w:rsidRPr="2046F7F3">
        <w:rPr>
          <w:rFonts w:cs="Times New Roman"/>
          <w:lang w:val="en-GB"/>
        </w:rPr>
        <w:t>actors influencing disease transmission, epidemiological concepts,</w:t>
      </w:r>
      <w:r w:rsidRPr="2046F7F3">
        <w:rPr>
          <w:rFonts w:eastAsia="Times New Roman" w:cs="Times New Roman"/>
          <w:color w:val="000000"/>
          <w:kern w:val="24"/>
        </w:rPr>
        <w:t xml:space="preserve"> l</w:t>
      </w:r>
      <w:r w:rsidRPr="2046F7F3">
        <w:rPr>
          <w:rFonts w:cs="Times New Roman"/>
        </w:rPr>
        <w:t>evels of disease,</w:t>
      </w:r>
      <w:r w:rsidRPr="2046F7F3">
        <w:rPr>
          <w:rFonts w:eastAsia="Times New Roman" w:cs="Times New Roman"/>
          <w:color w:val="000000"/>
          <w:kern w:val="24"/>
        </w:rPr>
        <w:t xml:space="preserve"> z</w:t>
      </w:r>
      <w:r w:rsidRPr="2046F7F3">
        <w:rPr>
          <w:rFonts w:cs="Times New Roman"/>
        </w:rPr>
        <w:t xml:space="preserve">oonosis, epizootic and enzootic chain of infection, </w:t>
      </w:r>
      <w:r w:rsidRPr="2046F7F3">
        <w:rPr>
          <w:rFonts w:cs="Times New Roman"/>
          <w:lang w:val="en-GB"/>
        </w:rPr>
        <w:t>factors influencing disease transmission,</w:t>
      </w:r>
      <w:r w:rsidRPr="2046F7F3">
        <w:rPr>
          <w:rFonts w:eastAsia="Times New Roman" w:cs="Times New Roman"/>
          <w:color w:val="3333FF"/>
          <w:kern w:val="24"/>
          <w:lang w:val="en-GB"/>
        </w:rPr>
        <w:t xml:space="preserve"> </w:t>
      </w:r>
      <w:r w:rsidRPr="2046F7F3">
        <w:rPr>
          <w:rFonts w:cs="Times New Roman"/>
          <w:lang w:val="en-GB"/>
        </w:rPr>
        <w:t>routes of transmission, exposure to infectious agents, transmission, chain of infection and agents,</w:t>
      </w:r>
      <w:r w:rsidRPr="2046F7F3">
        <w:rPr>
          <w:rFonts w:eastAsia="Times New Roman" w:cs="Times New Roman"/>
          <w:color w:val="000000"/>
          <w:kern w:val="24"/>
        </w:rPr>
        <w:t xml:space="preserve"> i</w:t>
      </w:r>
      <w:r w:rsidRPr="2046F7F3">
        <w:rPr>
          <w:rFonts w:cs="Times New Roman"/>
        </w:rPr>
        <w:t>nfectious organisms and agents, transmission and modes of disease transmission,</w:t>
      </w:r>
      <w:r w:rsidRPr="2046F7F3">
        <w:rPr>
          <w:rFonts w:eastAsia="Times New Roman" w:cs="Times New Roman"/>
          <w:color w:val="000000"/>
          <w:kern w:val="24"/>
        </w:rPr>
        <w:t xml:space="preserve"> </w:t>
      </w:r>
      <w:r w:rsidRPr="2046F7F3">
        <w:rPr>
          <w:rFonts w:cs="Times New Roman"/>
        </w:rPr>
        <w:t>types of reservoirs, vectors, environmental factors, immunity, principles of control.</w:t>
      </w:r>
    </w:p>
    <w:p w14:paraId="63CD1412" w14:textId="77777777" w:rsidR="00C8091D" w:rsidRPr="00FB129D" w:rsidRDefault="00C8091D" w:rsidP="00C8091D">
      <w:pPr>
        <w:spacing w:after="0" w:line="360" w:lineRule="auto"/>
        <w:jc w:val="both"/>
        <w:rPr>
          <w:rFonts w:cs="Times New Roman"/>
          <w:b/>
          <w:szCs w:val="24"/>
        </w:rPr>
      </w:pPr>
      <w:r>
        <w:rPr>
          <w:rFonts w:cs="Times New Roman"/>
          <w:b/>
          <w:szCs w:val="24"/>
        </w:rPr>
        <w:t>Mode of Delivery</w:t>
      </w:r>
    </w:p>
    <w:p w14:paraId="4D87E881" w14:textId="77777777" w:rsidR="00C8091D" w:rsidRDefault="00C8091D" w:rsidP="00C8091D">
      <w:pPr>
        <w:spacing w:after="0" w:line="360" w:lineRule="auto"/>
        <w:jc w:val="both"/>
        <w:rPr>
          <w:rFonts w:eastAsia="Times New Roman" w:cs="Times New Roman"/>
        </w:rPr>
      </w:pPr>
      <w:r w:rsidRPr="2046F7F3">
        <w:rPr>
          <w:rFonts w:eastAsia="Times New Roman" w:cs="Times New Roman"/>
        </w:rPr>
        <w:t>This includes lectures: problem-based learning using interactive tutorials, small group discussions and written assignments, plenary presentations, case studies, experiential learning through independent/reflective study and field visits and placements and online peer discussions using video clips and conferencing, case study and case series, tabletop exercises, field work. Learners will join epidemiologists in the field undertake outbreak investigation and control.</w:t>
      </w:r>
    </w:p>
    <w:p w14:paraId="71EF8144" w14:textId="77777777" w:rsidR="00C8091D" w:rsidRPr="00F51ED4" w:rsidRDefault="00C8091D" w:rsidP="00C8091D">
      <w:pPr>
        <w:spacing w:after="0" w:line="360" w:lineRule="auto"/>
        <w:jc w:val="both"/>
        <w:rPr>
          <w:rFonts w:eastAsia="Times New Roman" w:cs="Times New Roman"/>
          <w:sz w:val="6"/>
          <w:szCs w:val="24"/>
        </w:rPr>
      </w:pPr>
    </w:p>
    <w:p w14:paraId="0C3EF6D5" w14:textId="77777777" w:rsidR="00C8091D" w:rsidRPr="00FB129D" w:rsidRDefault="00C8091D" w:rsidP="00C8091D">
      <w:pPr>
        <w:spacing w:after="0" w:line="360" w:lineRule="auto"/>
        <w:jc w:val="both"/>
        <w:rPr>
          <w:rFonts w:cs="Times New Roman"/>
          <w:b/>
          <w:szCs w:val="24"/>
        </w:rPr>
      </w:pPr>
      <w:r>
        <w:rPr>
          <w:rFonts w:cs="Times New Roman"/>
          <w:b/>
          <w:szCs w:val="24"/>
        </w:rPr>
        <w:t>Instructional Materials</w:t>
      </w:r>
    </w:p>
    <w:p w14:paraId="668FF6DC" w14:textId="77777777" w:rsidR="00C8091D" w:rsidRPr="00FB129D" w:rsidRDefault="00C8091D" w:rsidP="00C8091D">
      <w:pPr>
        <w:spacing w:after="0" w:line="360" w:lineRule="auto"/>
        <w:jc w:val="both"/>
        <w:rPr>
          <w:rFonts w:cs="Times New Roman"/>
          <w:b/>
        </w:rPr>
      </w:pPr>
      <w:r w:rsidRPr="2046F7F3">
        <w:rPr>
          <w:rFonts w:eastAsia="Times New Roman" w:cs="Times New Roman"/>
          <w:i/>
        </w:rPr>
        <w:t>Materials:</w:t>
      </w:r>
      <w:r w:rsidRPr="2046F7F3">
        <w:rPr>
          <w:rFonts w:eastAsia="Times New Roman" w:cs="Times New Roman"/>
        </w:rPr>
        <w:t xml:space="preserve"> Lecture notes and slides, video clips, handouts, case studies, reference materials (t, journals, and policy document-guidelines), field placements and field visits to research institutions.</w:t>
      </w:r>
    </w:p>
    <w:p w14:paraId="3BFE3994" w14:textId="77777777" w:rsidR="00C8091D" w:rsidRDefault="00C8091D" w:rsidP="00C8091D">
      <w:pPr>
        <w:spacing w:after="0" w:line="360" w:lineRule="auto"/>
        <w:jc w:val="both"/>
        <w:rPr>
          <w:rFonts w:eastAsia="Times New Roman" w:cs="Times New Roman"/>
        </w:rPr>
      </w:pPr>
      <w:r w:rsidRPr="2046F7F3">
        <w:rPr>
          <w:rFonts w:eastAsia="Times New Roman" w:cs="Times New Roman"/>
          <w:i/>
        </w:rPr>
        <w:t>Equipment:</w:t>
      </w:r>
      <w:r w:rsidRPr="2046F7F3">
        <w:rPr>
          <w:rFonts w:eastAsia="Times New Roman" w:cs="Times New Roman"/>
        </w:rPr>
        <w:t xml:space="preserve"> LCD projectors, laptops, white board, markers and flipcharts, LCD, p</w:t>
      </w:r>
      <w:r>
        <w:rPr>
          <w:rFonts w:eastAsia="Times New Roman" w:cs="Times New Roman"/>
        </w:rPr>
        <w:t>rinters</w:t>
      </w:r>
      <w:r w:rsidRPr="2046F7F3">
        <w:rPr>
          <w:rFonts w:eastAsia="Times New Roman" w:cs="Times New Roman"/>
        </w:rPr>
        <w:t xml:space="preserve">, </w:t>
      </w:r>
      <w:r>
        <w:rPr>
          <w:rFonts w:eastAsia="Times New Roman" w:cs="Times New Roman"/>
        </w:rPr>
        <w:t>internet</w:t>
      </w:r>
      <w:r w:rsidRPr="2046F7F3">
        <w:rPr>
          <w:rFonts w:eastAsia="Times New Roman" w:cs="Times New Roman"/>
        </w:rPr>
        <w:t xml:space="preserve"> access for e-resources, PDAs, mobile phones, tools for outbreak investigation.</w:t>
      </w:r>
    </w:p>
    <w:p w14:paraId="22F3AC92" w14:textId="77777777" w:rsidR="00C8091D" w:rsidRDefault="00C8091D" w:rsidP="00C8091D">
      <w:pPr>
        <w:spacing w:after="0" w:line="360" w:lineRule="auto"/>
        <w:jc w:val="both"/>
        <w:rPr>
          <w:rFonts w:cs="Times New Roman"/>
          <w:b/>
          <w:szCs w:val="24"/>
        </w:rPr>
      </w:pPr>
    </w:p>
    <w:p w14:paraId="793033A7" w14:textId="77777777" w:rsidR="00C8091D" w:rsidRPr="00E25089" w:rsidRDefault="00C8091D" w:rsidP="00C8091D">
      <w:pPr>
        <w:spacing w:after="0" w:line="360" w:lineRule="auto"/>
        <w:jc w:val="both"/>
        <w:rPr>
          <w:rFonts w:cs="Times New Roman"/>
          <w:b/>
          <w:szCs w:val="24"/>
        </w:rPr>
      </w:pPr>
      <w:r w:rsidRPr="00E25089">
        <w:rPr>
          <w:rFonts w:cs="Times New Roman"/>
          <w:b/>
          <w:szCs w:val="24"/>
        </w:rPr>
        <w:t>Core Reference Materials</w:t>
      </w:r>
    </w:p>
    <w:p w14:paraId="493A8CF9" w14:textId="77777777" w:rsidR="00C8091D" w:rsidRPr="00E25089" w:rsidRDefault="00C8091D" w:rsidP="00C8091D">
      <w:pPr>
        <w:numPr>
          <w:ilvl w:val="0"/>
          <w:numId w:val="1"/>
        </w:numPr>
        <w:spacing w:after="0" w:line="300" w:lineRule="auto"/>
        <w:jc w:val="both"/>
        <w:rPr>
          <w:rFonts w:eastAsia="Times New Roman" w:cs="Times New Roman"/>
          <w:i/>
          <w:szCs w:val="24"/>
        </w:rPr>
      </w:pPr>
      <w:r w:rsidRPr="00E25089">
        <w:rPr>
          <w:rFonts w:cs="Times New Roman"/>
          <w:szCs w:val="24"/>
        </w:rPr>
        <w:t>Dicker, R. C., Coronado, F., Koo, D., &amp; Parrish, R. G. (2006). Principles of epidemiology in public health practice; an introduction to applied epidemiology and biostatistics.</w:t>
      </w:r>
    </w:p>
    <w:p w14:paraId="663EF74F" w14:textId="77777777" w:rsidR="00C8091D" w:rsidRPr="00E25089" w:rsidRDefault="00C8091D" w:rsidP="00C8091D">
      <w:pPr>
        <w:numPr>
          <w:ilvl w:val="0"/>
          <w:numId w:val="1"/>
        </w:numPr>
        <w:spacing w:after="0" w:line="300" w:lineRule="auto"/>
        <w:jc w:val="both"/>
        <w:rPr>
          <w:rFonts w:eastAsia="Times New Roman" w:cs="Times New Roman"/>
          <w:szCs w:val="24"/>
        </w:rPr>
      </w:pPr>
      <w:r w:rsidRPr="00E25089">
        <w:rPr>
          <w:rFonts w:eastAsia="Times New Roman" w:cs="Times New Roman"/>
          <w:szCs w:val="24"/>
        </w:rPr>
        <w:t>Centers for Disease Control and Prevention (CDC). (2006). Principles of Epidemiology in Public Health Practice; An Introduction to Applied Epidemiology and Biostatistics.</w:t>
      </w:r>
    </w:p>
    <w:p w14:paraId="18A27D26" w14:textId="77777777" w:rsidR="00C8091D" w:rsidRPr="00E25089" w:rsidRDefault="00C8091D" w:rsidP="00C8091D">
      <w:pPr>
        <w:numPr>
          <w:ilvl w:val="0"/>
          <w:numId w:val="1"/>
        </w:numPr>
        <w:spacing w:after="0" w:line="300" w:lineRule="auto"/>
        <w:jc w:val="both"/>
        <w:rPr>
          <w:rFonts w:eastAsia="Times New Roman" w:cs="Times New Roman"/>
          <w:szCs w:val="24"/>
        </w:rPr>
      </w:pPr>
      <w:r w:rsidRPr="00E25089">
        <w:rPr>
          <w:rFonts w:eastAsia="Times New Roman" w:cs="Times New Roman"/>
          <w:szCs w:val="24"/>
        </w:rPr>
        <w:t>Gregg, M. B. (2002). Communicating epidemiologic findings. </w:t>
      </w:r>
      <w:r w:rsidRPr="00E25089">
        <w:rPr>
          <w:rFonts w:eastAsia="Times New Roman" w:cs="Times New Roman"/>
          <w:i/>
          <w:iCs/>
          <w:szCs w:val="24"/>
        </w:rPr>
        <w:t>Field Epidemiology</w:t>
      </w:r>
      <w:r w:rsidRPr="00E25089">
        <w:rPr>
          <w:rFonts w:eastAsia="Times New Roman" w:cs="Times New Roman"/>
          <w:szCs w:val="24"/>
        </w:rPr>
        <w:t>, 183.</w:t>
      </w:r>
    </w:p>
    <w:p w14:paraId="2CA7E06A" w14:textId="77777777" w:rsidR="00C8091D" w:rsidRPr="00E25089" w:rsidRDefault="00C8091D" w:rsidP="00C8091D">
      <w:pPr>
        <w:tabs>
          <w:tab w:val="left" w:pos="720"/>
        </w:tabs>
        <w:spacing w:after="0" w:line="360" w:lineRule="auto"/>
        <w:ind w:left="720" w:hanging="720"/>
        <w:jc w:val="both"/>
        <w:rPr>
          <w:rFonts w:eastAsia="Times New Roman" w:cs="Times New Roman"/>
          <w:szCs w:val="24"/>
        </w:rPr>
      </w:pPr>
      <w:r w:rsidRPr="00E25089">
        <w:rPr>
          <w:rFonts w:cs="Times New Roman"/>
          <w:b/>
          <w:bCs/>
          <w:szCs w:val="24"/>
        </w:rPr>
        <w:t xml:space="preserve">Recommended Reference Materials </w:t>
      </w:r>
    </w:p>
    <w:p w14:paraId="3F591288" w14:textId="77777777" w:rsidR="00C8091D" w:rsidRPr="00E25089" w:rsidRDefault="00C8091D" w:rsidP="00C8091D">
      <w:pPr>
        <w:numPr>
          <w:ilvl w:val="0"/>
          <w:numId w:val="2"/>
        </w:numPr>
        <w:spacing w:after="0"/>
        <w:contextualSpacing/>
        <w:jc w:val="both"/>
        <w:rPr>
          <w:rFonts w:eastAsia="Times New Roman" w:cs="Times New Roman"/>
          <w:szCs w:val="24"/>
          <w:lang w:bidi="kn-IN"/>
        </w:rPr>
      </w:pPr>
      <w:r w:rsidRPr="00E25089">
        <w:rPr>
          <w:rFonts w:cs="Times New Roman"/>
          <w:color w:val="222222"/>
          <w:szCs w:val="24"/>
          <w:shd w:val="clear" w:color="auto" w:fill="FFFFFF"/>
          <w:lang w:val="de-DE"/>
        </w:rPr>
        <w:t>Bonita, R., Beaglehole, R., &amp; Kjellström, T. (2006). </w:t>
      </w:r>
      <w:r w:rsidRPr="00E25089">
        <w:rPr>
          <w:rFonts w:cs="Times New Roman"/>
          <w:i/>
          <w:iCs/>
          <w:color w:val="222222"/>
          <w:szCs w:val="24"/>
          <w:shd w:val="clear" w:color="auto" w:fill="FFFFFF"/>
        </w:rPr>
        <w:t>Basic epidemiology</w:t>
      </w:r>
      <w:r w:rsidRPr="00E25089">
        <w:rPr>
          <w:rFonts w:cs="Times New Roman"/>
          <w:color w:val="222222"/>
          <w:szCs w:val="24"/>
          <w:shd w:val="clear" w:color="auto" w:fill="FFFFFF"/>
        </w:rPr>
        <w:t>. World Health Organization.</w:t>
      </w:r>
    </w:p>
    <w:p w14:paraId="5728C4F2" w14:textId="77777777" w:rsidR="00C8091D" w:rsidRPr="00E25089" w:rsidRDefault="00C8091D" w:rsidP="00C8091D">
      <w:pPr>
        <w:numPr>
          <w:ilvl w:val="0"/>
          <w:numId w:val="2"/>
        </w:numPr>
        <w:spacing w:after="0" w:line="360" w:lineRule="auto"/>
        <w:contextualSpacing/>
        <w:jc w:val="both"/>
        <w:rPr>
          <w:rFonts w:eastAsia="Times New Roman" w:cs="Times New Roman"/>
          <w:szCs w:val="24"/>
          <w:lang w:bidi="kn-IN"/>
        </w:rPr>
      </w:pPr>
      <w:r w:rsidRPr="00E25089">
        <w:rPr>
          <w:rFonts w:cs="Times New Roman"/>
          <w:color w:val="222222"/>
          <w:szCs w:val="24"/>
          <w:shd w:val="clear" w:color="auto" w:fill="FFFFFF"/>
        </w:rPr>
        <w:t>Rothman, K. J. (2012). </w:t>
      </w:r>
      <w:r w:rsidRPr="00E25089">
        <w:rPr>
          <w:rFonts w:cs="Times New Roman"/>
          <w:i/>
          <w:iCs/>
          <w:color w:val="222222"/>
          <w:szCs w:val="24"/>
          <w:shd w:val="clear" w:color="auto" w:fill="FFFFFF"/>
        </w:rPr>
        <w:t>Epidemiology: an introduction</w:t>
      </w:r>
      <w:r w:rsidRPr="00E25089">
        <w:rPr>
          <w:rFonts w:cs="Times New Roman"/>
          <w:color w:val="222222"/>
          <w:szCs w:val="24"/>
          <w:shd w:val="clear" w:color="auto" w:fill="FFFFFF"/>
        </w:rPr>
        <w:t>. Oxford university press.</w:t>
      </w:r>
    </w:p>
    <w:p w14:paraId="51590208" w14:textId="40207532" w:rsidR="004B2B29" w:rsidRDefault="00C8091D" w:rsidP="00C8091D">
      <w:pPr>
        <w:numPr>
          <w:ilvl w:val="0"/>
          <w:numId w:val="2"/>
        </w:numPr>
        <w:contextualSpacing/>
        <w:jc w:val="both"/>
      </w:pPr>
      <w:r w:rsidRPr="00C8091D">
        <w:rPr>
          <w:rFonts w:cs="Times New Roman"/>
          <w:color w:val="222222"/>
          <w:szCs w:val="24"/>
          <w:shd w:val="clear" w:color="auto" w:fill="FFFFFF"/>
          <w:lang w:val="de-DE"/>
        </w:rPr>
        <w:t>Aschengrau, A., &amp; Seage, G. R. (2013). </w:t>
      </w:r>
      <w:r w:rsidRPr="00C8091D">
        <w:rPr>
          <w:rFonts w:cs="Times New Roman"/>
          <w:i/>
          <w:iCs/>
          <w:color w:val="222222"/>
          <w:szCs w:val="24"/>
          <w:shd w:val="clear" w:color="auto" w:fill="FFFFFF"/>
        </w:rPr>
        <w:t>Essentials of epidemiology in public health</w:t>
      </w:r>
      <w:r w:rsidRPr="00C8091D">
        <w:rPr>
          <w:rFonts w:cs="Times New Roman"/>
          <w:color w:val="222222"/>
          <w:szCs w:val="24"/>
          <w:shd w:val="clear" w:color="auto" w:fill="FFFFFF"/>
        </w:rPr>
        <w:t>. Jones &amp; Bartlett Publishers.</w:t>
      </w:r>
      <w:bookmarkStart w:id="1" w:name="_GoBack"/>
      <w:bookmarkEnd w:id="1"/>
    </w:p>
    <w:sectPr w:rsidR="004B2B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6E4B8F"/>
    <w:multiLevelType w:val="hybridMultilevel"/>
    <w:tmpl w:val="123CD3C4"/>
    <w:lvl w:ilvl="0" w:tplc="B6CE8CC8">
      <w:start w:val="1"/>
      <w:numFmt w:val="decimal"/>
      <w:lvlText w:val="%1."/>
      <w:lvlJc w:val="left"/>
      <w:pPr>
        <w:tabs>
          <w:tab w:val="num" w:pos="720"/>
        </w:tabs>
        <w:ind w:left="720" w:hanging="360"/>
      </w:pPr>
      <w:rPr>
        <w:rFonts w:hint="default"/>
        <w:i w:val="0"/>
      </w:rPr>
    </w:lvl>
    <w:lvl w:ilvl="1" w:tplc="88A49CCE" w:tentative="1">
      <w:start w:val="1"/>
      <w:numFmt w:val="bullet"/>
      <w:lvlText w:val="•"/>
      <w:lvlJc w:val="left"/>
      <w:pPr>
        <w:tabs>
          <w:tab w:val="num" w:pos="1440"/>
        </w:tabs>
        <w:ind w:left="1440" w:hanging="360"/>
      </w:pPr>
      <w:rPr>
        <w:rFonts w:ascii="Arial" w:hAnsi="Arial" w:hint="default"/>
      </w:rPr>
    </w:lvl>
    <w:lvl w:ilvl="2" w:tplc="262A6B32" w:tentative="1">
      <w:start w:val="1"/>
      <w:numFmt w:val="bullet"/>
      <w:lvlText w:val="•"/>
      <w:lvlJc w:val="left"/>
      <w:pPr>
        <w:tabs>
          <w:tab w:val="num" w:pos="2160"/>
        </w:tabs>
        <w:ind w:left="2160" w:hanging="360"/>
      </w:pPr>
      <w:rPr>
        <w:rFonts w:ascii="Arial" w:hAnsi="Arial" w:hint="default"/>
      </w:rPr>
    </w:lvl>
    <w:lvl w:ilvl="3" w:tplc="F454D6E0" w:tentative="1">
      <w:start w:val="1"/>
      <w:numFmt w:val="bullet"/>
      <w:lvlText w:val="•"/>
      <w:lvlJc w:val="left"/>
      <w:pPr>
        <w:tabs>
          <w:tab w:val="num" w:pos="2880"/>
        </w:tabs>
        <w:ind w:left="2880" w:hanging="360"/>
      </w:pPr>
      <w:rPr>
        <w:rFonts w:ascii="Arial" w:hAnsi="Arial" w:hint="default"/>
      </w:rPr>
    </w:lvl>
    <w:lvl w:ilvl="4" w:tplc="E8F21DE2" w:tentative="1">
      <w:start w:val="1"/>
      <w:numFmt w:val="bullet"/>
      <w:lvlText w:val="•"/>
      <w:lvlJc w:val="left"/>
      <w:pPr>
        <w:tabs>
          <w:tab w:val="num" w:pos="3600"/>
        </w:tabs>
        <w:ind w:left="3600" w:hanging="360"/>
      </w:pPr>
      <w:rPr>
        <w:rFonts w:ascii="Arial" w:hAnsi="Arial" w:hint="default"/>
      </w:rPr>
    </w:lvl>
    <w:lvl w:ilvl="5" w:tplc="D0EA47F2" w:tentative="1">
      <w:start w:val="1"/>
      <w:numFmt w:val="bullet"/>
      <w:lvlText w:val="•"/>
      <w:lvlJc w:val="left"/>
      <w:pPr>
        <w:tabs>
          <w:tab w:val="num" w:pos="4320"/>
        </w:tabs>
        <w:ind w:left="4320" w:hanging="360"/>
      </w:pPr>
      <w:rPr>
        <w:rFonts w:ascii="Arial" w:hAnsi="Arial" w:hint="default"/>
      </w:rPr>
    </w:lvl>
    <w:lvl w:ilvl="6" w:tplc="A1F497E0" w:tentative="1">
      <w:start w:val="1"/>
      <w:numFmt w:val="bullet"/>
      <w:lvlText w:val="•"/>
      <w:lvlJc w:val="left"/>
      <w:pPr>
        <w:tabs>
          <w:tab w:val="num" w:pos="5040"/>
        </w:tabs>
        <w:ind w:left="5040" w:hanging="360"/>
      </w:pPr>
      <w:rPr>
        <w:rFonts w:ascii="Arial" w:hAnsi="Arial" w:hint="default"/>
      </w:rPr>
    </w:lvl>
    <w:lvl w:ilvl="7" w:tplc="17D81DE8" w:tentative="1">
      <w:start w:val="1"/>
      <w:numFmt w:val="bullet"/>
      <w:lvlText w:val="•"/>
      <w:lvlJc w:val="left"/>
      <w:pPr>
        <w:tabs>
          <w:tab w:val="num" w:pos="5760"/>
        </w:tabs>
        <w:ind w:left="5760" w:hanging="360"/>
      </w:pPr>
      <w:rPr>
        <w:rFonts w:ascii="Arial" w:hAnsi="Arial" w:hint="default"/>
      </w:rPr>
    </w:lvl>
    <w:lvl w:ilvl="8" w:tplc="CBB4736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7AC67CD"/>
    <w:multiLevelType w:val="hybridMultilevel"/>
    <w:tmpl w:val="1E423180"/>
    <w:lvl w:ilvl="0" w:tplc="73A4B590">
      <w:start w:val="1"/>
      <w:numFmt w:val="decimal"/>
      <w:lvlText w:val="%1."/>
      <w:lvlJc w:val="left"/>
      <w:pPr>
        <w:ind w:left="720" w:hanging="360"/>
      </w:pPr>
      <w:rPr>
        <w:rFonts w:eastAsia="Calibri"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91D"/>
    <w:rsid w:val="004B2B29"/>
    <w:rsid w:val="00C55B5E"/>
    <w:rsid w:val="00C8091D"/>
    <w:rsid w:val="00DA3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F8441B"/>
  <w15:chartTrackingRefBased/>
  <w15:docId w15:val="{E3BBB636-2BCE-4311-9B99-2C328BD67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091D"/>
    <w:pPr>
      <w:spacing w:after="200" w:line="276" w:lineRule="auto"/>
    </w:pPr>
    <w:rPr>
      <w:rFonts w:ascii="Times New Roman" w:eastAsia="Calibri" w:hAnsi="Times New Roman" w:cs="Tunga"/>
      <w:sz w:val="24"/>
    </w:rPr>
  </w:style>
  <w:style w:type="paragraph" w:styleId="Heading1">
    <w:name w:val="heading 1"/>
    <w:basedOn w:val="Normal"/>
    <w:next w:val="Normal"/>
    <w:link w:val="Heading1Char"/>
    <w:uiPriority w:val="9"/>
    <w:qFormat/>
    <w:rsid w:val="00DA3EC6"/>
    <w:pPr>
      <w:keepNext/>
      <w:keepLines/>
      <w:spacing w:before="240" w:after="0"/>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qFormat/>
    <w:rsid w:val="00C55B5E"/>
    <w:pPr>
      <w:keepNext/>
      <w:keepLines/>
      <w:spacing w:before="40" w:after="0" w:line="240" w:lineRule="auto"/>
      <w:outlineLvl w:val="1"/>
    </w:pPr>
    <w:rPr>
      <w:b/>
      <w:color w:val="000000" w:themeColor="text1"/>
      <w:sz w:val="26"/>
      <w:szCs w:val="26"/>
    </w:rPr>
  </w:style>
  <w:style w:type="paragraph" w:styleId="Heading4">
    <w:name w:val="heading 4"/>
    <w:basedOn w:val="Normal"/>
    <w:next w:val="Normal"/>
    <w:link w:val="Heading4Char"/>
    <w:uiPriority w:val="9"/>
    <w:semiHidden/>
    <w:unhideWhenUsed/>
    <w:qFormat/>
    <w:rsid w:val="00DA3EC6"/>
    <w:pPr>
      <w:keepNext/>
      <w:keepLines/>
      <w:spacing w:before="40" w:after="0"/>
      <w:outlineLvl w:val="3"/>
    </w:pPr>
    <w:rPr>
      <w:rFonts w:asciiTheme="majorHAnsi" w:eastAsiaTheme="majorEastAsia" w:hAnsiTheme="majorHAnsi"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1"/>
    <w:link w:val="Style2Char"/>
    <w:autoRedefine/>
    <w:qFormat/>
    <w:rsid w:val="00DA3EC6"/>
  </w:style>
  <w:style w:type="character" w:customStyle="1" w:styleId="Style2Char">
    <w:name w:val="Style2 Char"/>
    <w:basedOn w:val="Heading1Char"/>
    <w:link w:val="Style2"/>
    <w:rsid w:val="00DA3EC6"/>
    <w:rPr>
      <w:rFonts w:asciiTheme="majorHAnsi" w:eastAsiaTheme="majorEastAsia" w:hAnsiTheme="majorHAnsi" w:cstheme="majorBidi"/>
      <w:color w:val="000000" w:themeColor="text1"/>
      <w:sz w:val="32"/>
      <w:szCs w:val="32"/>
    </w:rPr>
  </w:style>
  <w:style w:type="character" w:customStyle="1" w:styleId="Heading1Char">
    <w:name w:val="Heading 1 Char"/>
    <w:basedOn w:val="DefaultParagraphFont"/>
    <w:link w:val="Heading1"/>
    <w:uiPriority w:val="9"/>
    <w:rsid w:val="00DA3EC6"/>
    <w:rPr>
      <w:rFonts w:asciiTheme="majorHAnsi" w:eastAsiaTheme="majorEastAsia" w:hAnsiTheme="majorHAnsi" w:cstheme="majorBidi"/>
      <w:color w:val="000000" w:themeColor="text1"/>
      <w:sz w:val="32"/>
      <w:szCs w:val="32"/>
    </w:rPr>
  </w:style>
  <w:style w:type="paragraph" w:customStyle="1" w:styleId="Style3">
    <w:name w:val="Style3"/>
    <w:basedOn w:val="Heading1"/>
    <w:link w:val="Style3Char"/>
    <w:qFormat/>
    <w:rsid w:val="00DA3EC6"/>
  </w:style>
  <w:style w:type="character" w:customStyle="1" w:styleId="Style3Char">
    <w:name w:val="Style3 Char"/>
    <w:basedOn w:val="Heading1Char"/>
    <w:link w:val="Style3"/>
    <w:rsid w:val="00DA3EC6"/>
    <w:rPr>
      <w:rFonts w:asciiTheme="majorHAnsi" w:eastAsiaTheme="majorEastAsia" w:hAnsiTheme="majorHAnsi" w:cstheme="majorBidi"/>
      <w:color w:val="000000" w:themeColor="text1"/>
      <w:sz w:val="32"/>
      <w:szCs w:val="32"/>
    </w:rPr>
  </w:style>
  <w:style w:type="character" w:customStyle="1" w:styleId="Heading4Char">
    <w:name w:val="Heading 4 Char"/>
    <w:basedOn w:val="DefaultParagraphFont"/>
    <w:link w:val="Heading4"/>
    <w:uiPriority w:val="9"/>
    <w:semiHidden/>
    <w:rsid w:val="00DA3EC6"/>
    <w:rPr>
      <w:rFonts w:asciiTheme="majorHAnsi" w:eastAsiaTheme="majorEastAsia" w:hAnsiTheme="majorHAnsi" w:cstheme="majorBidi"/>
      <w:i/>
      <w:iCs/>
      <w:color w:val="000000" w:themeColor="text1"/>
    </w:rPr>
  </w:style>
  <w:style w:type="character" w:customStyle="1" w:styleId="Heading2Char">
    <w:name w:val="Heading 2 Char"/>
    <w:link w:val="Heading2"/>
    <w:uiPriority w:val="9"/>
    <w:rsid w:val="00C55B5E"/>
    <w:rPr>
      <w:rFonts w:ascii="Times New Roman" w:hAnsi="Times New Roman"/>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303</Words>
  <Characters>2064</Characters>
  <Application>Microsoft Office Word</Application>
  <DocSecurity>0</DocSecurity>
  <Lines>34</Lines>
  <Paragraphs>16</Paragraphs>
  <ScaleCrop>false</ScaleCrop>
  <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Salvias</dc:creator>
  <cp:keywords/>
  <dc:description/>
  <cp:lastModifiedBy>Salvias</cp:lastModifiedBy>
  <cp:revision>1</cp:revision>
  <dcterms:created xsi:type="dcterms:W3CDTF">2024-04-16T09:42:00Z</dcterms:created>
  <dcterms:modified xsi:type="dcterms:W3CDTF">2024-04-16T09:44:00Z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420fbc11-5c42-4df6-a1b1-d8331e481c0a</vt:lpwstr>
  </property>
</Properties>
</file>