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EF742" w14:textId="77777777" w:rsidR="00F23521" w:rsidRPr="00583179" w:rsidRDefault="00F23521" w:rsidP="00F23521">
      <w:pPr>
        <w:pStyle w:val="Heading2"/>
      </w:pPr>
      <w:bookmarkStart w:id="0" w:name="_Toc134044869"/>
      <w:r w:rsidRPr="00583179">
        <w:t>POH 106: Pandemic Preparedness Planning</w:t>
      </w:r>
      <w:bookmarkEnd w:id="0"/>
    </w:p>
    <w:p w14:paraId="3D7C63D7" w14:textId="77777777" w:rsidR="00F23521" w:rsidRDefault="00F23521" w:rsidP="00F23521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</w:p>
    <w:p w14:paraId="6A39537E" w14:textId="65F7F44D" w:rsidR="00F23521" w:rsidRPr="00A10FB9" w:rsidRDefault="00F23521" w:rsidP="00F23521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>
        <w:rPr>
          <w:rFonts w:cs="Times New Roman"/>
          <w:b/>
          <w:szCs w:val="24"/>
          <w:shd w:val="clear" w:color="auto" w:fill="FFFFFF"/>
        </w:rPr>
        <w:t xml:space="preserve">Module Overview </w:t>
      </w:r>
      <w:bookmarkStart w:id="1" w:name="_GoBack"/>
      <w:bookmarkEnd w:id="1"/>
    </w:p>
    <w:p w14:paraId="3444EA55" w14:textId="77777777" w:rsidR="00F23521" w:rsidRDefault="00F23521" w:rsidP="00F23521">
      <w:pPr>
        <w:spacing w:after="0" w:line="360" w:lineRule="auto"/>
        <w:ind w:right="-18"/>
        <w:jc w:val="both"/>
        <w:rPr>
          <w:rFonts w:eastAsia="Times New Roman" w:cs="Times New Roman"/>
          <w:lang w:val="en-GB"/>
        </w:rPr>
      </w:pPr>
      <w:r w:rsidRPr="7C6C023A">
        <w:rPr>
          <w:rFonts w:eastAsia="Times New Roman" w:cs="Times New Roman"/>
          <w:lang w:val="en-GB"/>
        </w:rPr>
        <w:t>Definition of terms; p</w:t>
      </w:r>
      <w:r>
        <w:rPr>
          <w:rFonts w:eastAsia="Times New Roman" w:cs="Times New Roman"/>
          <w:lang w:val="en-GB"/>
        </w:rPr>
        <w:t xml:space="preserve">andemic </w:t>
      </w:r>
      <w:r w:rsidRPr="7C6C023A">
        <w:rPr>
          <w:rFonts w:eastAsia="Times New Roman" w:cs="Times New Roman"/>
          <w:lang w:val="en-GB"/>
        </w:rPr>
        <w:t xml:space="preserve">preparedness, response, hazard, vulnerability, capacity, pandemic risk management, phases of pandemics, response capacity development, </w:t>
      </w:r>
      <w:proofErr w:type="spellStart"/>
      <w:r w:rsidRPr="7C6C023A">
        <w:rPr>
          <w:rFonts w:eastAsia="Times New Roman" w:cs="Times New Roman"/>
          <w:lang w:val="en-GB"/>
        </w:rPr>
        <w:t>tabletop</w:t>
      </w:r>
      <w:proofErr w:type="spellEnd"/>
      <w:r w:rsidRPr="7C6C023A">
        <w:rPr>
          <w:rFonts w:eastAsia="Times New Roman" w:cs="Times New Roman"/>
          <w:lang w:val="en-GB"/>
        </w:rPr>
        <w:t xml:space="preserve"> simulations, early warning.</w:t>
      </w:r>
    </w:p>
    <w:p w14:paraId="52DE8563" w14:textId="77777777" w:rsidR="00F23521" w:rsidRPr="007958F7" w:rsidRDefault="00F23521" w:rsidP="00F23521">
      <w:pPr>
        <w:spacing w:after="0" w:line="360" w:lineRule="auto"/>
        <w:ind w:right="-18"/>
        <w:jc w:val="both"/>
        <w:rPr>
          <w:rFonts w:eastAsia="Times New Roman" w:cs="Times New Roman"/>
          <w:bCs/>
          <w:sz w:val="10"/>
          <w:szCs w:val="24"/>
          <w:lang w:val="en-GB"/>
        </w:rPr>
      </w:pPr>
    </w:p>
    <w:p w14:paraId="3DAFFDE2" w14:textId="77777777" w:rsidR="00F23521" w:rsidRDefault="00F23521" w:rsidP="00F23521">
      <w:pPr>
        <w:spacing w:after="0" w:line="360" w:lineRule="auto"/>
        <w:ind w:right="-288"/>
        <w:jc w:val="both"/>
        <w:rPr>
          <w:rFonts w:cs="Times New Roman"/>
          <w:bCs/>
          <w:szCs w:val="24"/>
        </w:rPr>
      </w:pPr>
      <w:r w:rsidRPr="00A10FB9">
        <w:rPr>
          <w:rFonts w:cs="Times New Roman"/>
          <w:bCs/>
          <w:szCs w:val="24"/>
        </w:rPr>
        <w:t>Pandemic preparedness planning cycle and related activities; mitigation, preparedness, prevention, response, and recovery.</w:t>
      </w:r>
    </w:p>
    <w:p w14:paraId="23AB958E" w14:textId="77777777" w:rsidR="00F23521" w:rsidRPr="007958F7" w:rsidRDefault="00F23521" w:rsidP="00F23521">
      <w:pPr>
        <w:spacing w:after="0" w:line="360" w:lineRule="auto"/>
        <w:ind w:right="-288"/>
        <w:jc w:val="both"/>
        <w:rPr>
          <w:rFonts w:cs="Times New Roman"/>
          <w:bCs/>
          <w:sz w:val="12"/>
          <w:szCs w:val="24"/>
        </w:rPr>
      </w:pPr>
    </w:p>
    <w:p w14:paraId="089522E2" w14:textId="77777777" w:rsidR="00F23521" w:rsidRDefault="00F23521" w:rsidP="00F23521">
      <w:pPr>
        <w:spacing w:after="0" w:line="360" w:lineRule="auto"/>
        <w:ind w:right="-18"/>
        <w:jc w:val="both"/>
        <w:rPr>
          <w:rFonts w:eastAsia="Times New Roman" w:cs="Times New Roman"/>
          <w:bCs/>
          <w:szCs w:val="24"/>
          <w:lang w:val="en-GB"/>
        </w:rPr>
      </w:pPr>
      <w:r w:rsidRPr="00A10FB9">
        <w:rPr>
          <w:rFonts w:eastAsia="Times New Roman" w:cs="Times New Roman"/>
          <w:bCs/>
          <w:szCs w:val="24"/>
          <w:lang w:val="en-GB"/>
        </w:rPr>
        <w:t xml:space="preserve">Causes and consequences of pandemics; surveillance, direct and indirect impact on people’s health, impacts on health services, the role of agencies in preparedness and response, pandemic risk equation hazard, vulnerability, and capacity for resilience. </w:t>
      </w:r>
    </w:p>
    <w:p w14:paraId="5C67F7B7" w14:textId="77777777" w:rsidR="00F23521" w:rsidRPr="007958F7" w:rsidRDefault="00F23521" w:rsidP="00F23521">
      <w:pPr>
        <w:spacing w:after="0" w:line="360" w:lineRule="auto"/>
        <w:ind w:right="-18"/>
        <w:jc w:val="both"/>
        <w:rPr>
          <w:rFonts w:eastAsia="Times New Roman" w:cs="Times New Roman"/>
          <w:bCs/>
          <w:sz w:val="16"/>
          <w:szCs w:val="24"/>
          <w:lang w:val="en-GB"/>
        </w:rPr>
      </w:pPr>
    </w:p>
    <w:p w14:paraId="1B97097D" w14:textId="77777777" w:rsidR="00F23521" w:rsidRDefault="00F23521" w:rsidP="00F23521">
      <w:pPr>
        <w:spacing w:after="0" w:line="360" w:lineRule="auto"/>
        <w:jc w:val="both"/>
        <w:rPr>
          <w:rFonts w:eastAsia="Times New Roman" w:cs="Times New Roman"/>
          <w:lang w:val="en-GB"/>
        </w:rPr>
      </w:pPr>
      <w:r w:rsidRPr="66771594">
        <w:rPr>
          <w:rFonts w:eastAsia="Times New Roman" w:cs="Times New Roman"/>
          <w:lang w:val="en-GB"/>
        </w:rPr>
        <w:t xml:space="preserve">Pandemic management tools: rapid needs assessment, camp profiling, emergency response plan, Hazard Capacity Vulnerability Analysis (HCVA); GIS in pandemics, hazard mapping, forecasting, early warning and remote sensing systems. Environmental </w:t>
      </w:r>
      <w:r w:rsidRPr="3BD8B792">
        <w:rPr>
          <w:rFonts w:eastAsia="Times New Roman" w:cs="Times New Roman"/>
          <w:lang w:val="en-GB"/>
        </w:rPr>
        <w:t>impact assessment, crisis m</w:t>
      </w:r>
      <w:r w:rsidRPr="66771594">
        <w:rPr>
          <w:rFonts w:eastAsia="Times New Roman" w:cs="Times New Roman"/>
          <w:lang w:val="en-GB"/>
        </w:rPr>
        <w:t>anagement and triage</w:t>
      </w:r>
    </w:p>
    <w:p w14:paraId="0C53CA5E" w14:textId="77777777" w:rsidR="00F23521" w:rsidRPr="007958F7" w:rsidRDefault="00F23521" w:rsidP="00F23521">
      <w:pPr>
        <w:spacing w:after="0" w:line="360" w:lineRule="auto"/>
        <w:jc w:val="both"/>
        <w:rPr>
          <w:rFonts w:eastAsia="Times New Roman" w:cs="Times New Roman"/>
          <w:bCs/>
          <w:sz w:val="8"/>
          <w:szCs w:val="24"/>
          <w:lang w:val="en-GB"/>
        </w:rPr>
      </w:pPr>
    </w:p>
    <w:p w14:paraId="05873658" w14:textId="77777777" w:rsidR="00F23521" w:rsidRDefault="00F23521" w:rsidP="00F23521">
      <w:pPr>
        <w:spacing w:after="0" w:line="360" w:lineRule="auto"/>
        <w:jc w:val="both"/>
        <w:rPr>
          <w:rFonts w:cs="Times New Roman"/>
        </w:rPr>
      </w:pPr>
      <w:r w:rsidRPr="39AD1114">
        <w:rPr>
          <w:rFonts w:cs="Times New Roman"/>
        </w:rPr>
        <w:t xml:space="preserve">Cross-cutting issues in pandemics: Gender related issues, security and protection, vulnerable populations, </w:t>
      </w:r>
      <w:r w:rsidRPr="4D160F68">
        <w:rPr>
          <w:rFonts w:cs="Times New Roman"/>
        </w:rPr>
        <w:t>e</w:t>
      </w:r>
      <w:r w:rsidRPr="39AD1114">
        <w:rPr>
          <w:rFonts w:cs="Times New Roman"/>
        </w:rPr>
        <w:t xml:space="preserve">nvironment. Control, command, communication plans and tools during pandemics: </w:t>
      </w:r>
      <w:proofErr w:type="spellStart"/>
      <w:r w:rsidRPr="39AD1114">
        <w:rPr>
          <w:rFonts w:cs="Times New Roman"/>
        </w:rPr>
        <w:t>SoPs</w:t>
      </w:r>
      <w:proofErr w:type="spellEnd"/>
      <w:r w:rsidRPr="39AD1114">
        <w:rPr>
          <w:rFonts w:cs="Times New Roman"/>
        </w:rPr>
        <w:t xml:space="preserve">, contact tracing, </w:t>
      </w:r>
      <w:r w:rsidRPr="4D160F68">
        <w:rPr>
          <w:rFonts w:cs="Times New Roman"/>
        </w:rPr>
        <w:t>i</w:t>
      </w:r>
      <w:r w:rsidRPr="39AD1114">
        <w:rPr>
          <w:rFonts w:cs="Times New Roman"/>
        </w:rPr>
        <w:t xml:space="preserve">solation and evacuation camps, </w:t>
      </w:r>
      <w:r w:rsidRPr="69011942">
        <w:rPr>
          <w:rFonts w:cs="Times New Roman"/>
        </w:rPr>
        <w:t>camp coordination, camp management and incident command system.</w:t>
      </w:r>
    </w:p>
    <w:p w14:paraId="2F3C784E" w14:textId="77777777" w:rsidR="00F23521" w:rsidRPr="00075F9D" w:rsidRDefault="00F23521" w:rsidP="00F23521">
      <w:pPr>
        <w:spacing w:after="0" w:line="360" w:lineRule="auto"/>
        <w:jc w:val="both"/>
        <w:rPr>
          <w:rFonts w:cs="Times New Roman"/>
          <w:sz w:val="12"/>
          <w:szCs w:val="24"/>
        </w:rPr>
      </w:pPr>
    </w:p>
    <w:p w14:paraId="3DE013DD" w14:textId="77777777" w:rsidR="00F23521" w:rsidRPr="00A10FB9" w:rsidRDefault="00F23521" w:rsidP="00F23521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 w:rsidRPr="00A10FB9">
        <w:rPr>
          <w:rFonts w:cs="Times New Roman"/>
          <w:b/>
          <w:szCs w:val="24"/>
          <w:shd w:val="clear" w:color="auto" w:fill="FFFFFF"/>
        </w:rPr>
        <w:t>Mode of Delivery</w:t>
      </w:r>
    </w:p>
    <w:p w14:paraId="5866E2B8" w14:textId="77777777" w:rsidR="00F23521" w:rsidRDefault="00F23521" w:rsidP="00F23521">
      <w:pPr>
        <w:spacing w:after="0" w:line="360" w:lineRule="auto"/>
        <w:jc w:val="both"/>
        <w:rPr>
          <w:rFonts w:eastAsia="Times New Roman" w:cs="Times New Roman"/>
        </w:rPr>
      </w:pPr>
      <w:r w:rsidRPr="69011942">
        <w:rPr>
          <w:rFonts w:eastAsia="Times New Roman" w:cs="Times New Roman"/>
        </w:rPr>
        <w:t>This includes lectures: problem-based learning using interactive tutorials, small group discussions and written assignments, plenary presentations; case studies, experiential learning through independent/reflective study and field visits and placements; and online peer discussions using video clips and conferencing.</w:t>
      </w:r>
    </w:p>
    <w:p w14:paraId="7E149A16" w14:textId="77777777" w:rsidR="00F23521" w:rsidRPr="00075F9D" w:rsidRDefault="00F23521" w:rsidP="00F23521">
      <w:pPr>
        <w:spacing w:after="0" w:line="360" w:lineRule="auto"/>
        <w:jc w:val="both"/>
        <w:rPr>
          <w:rFonts w:eastAsia="Times New Roman" w:cs="Times New Roman"/>
          <w:sz w:val="10"/>
          <w:szCs w:val="24"/>
        </w:rPr>
      </w:pPr>
    </w:p>
    <w:p w14:paraId="776837BF" w14:textId="77777777" w:rsidR="00F23521" w:rsidRPr="00A10FB9" w:rsidRDefault="00F23521" w:rsidP="00F23521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 w:rsidRPr="00A10FB9">
        <w:rPr>
          <w:rFonts w:cs="Times New Roman"/>
          <w:b/>
          <w:szCs w:val="24"/>
          <w:shd w:val="clear" w:color="auto" w:fill="FFFFFF"/>
        </w:rPr>
        <w:t>Instructional Materials and/or Equipment</w:t>
      </w:r>
    </w:p>
    <w:p w14:paraId="742FA108" w14:textId="77777777" w:rsidR="00F23521" w:rsidRPr="00A10FB9" w:rsidRDefault="00F23521" w:rsidP="00F23521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A10FB9">
        <w:rPr>
          <w:rFonts w:eastAsia="Times New Roman" w:cs="Times New Roman"/>
          <w:i/>
          <w:szCs w:val="24"/>
        </w:rPr>
        <w:t>Materials:</w:t>
      </w:r>
      <w:r w:rsidRPr="00A10FB9">
        <w:rPr>
          <w:rFonts w:eastAsia="Times New Roman" w:cs="Times New Roman"/>
          <w:szCs w:val="24"/>
        </w:rPr>
        <w:t xml:space="preserve"> Lecture notes and slides, video clips, Handouts, case studies, Reference materials (</w:t>
      </w:r>
      <w:r>
        <w:rPr>
          <w:rFonts w:eastAsia="Times New Roman" w:cs="Times New Roman"/>
          <w:szCs w:val="24"/>
        </w:rPr>
        <w:t>textbooks</w:t>
      </w:r>
      <w:r w:rsidRPr="00A10FB9">
        <w:rPr>
          <w:rFonts w:eastAsia="Times New Roman" w:cs="Times New Roman"/>
          <w:szCs w:val="24"/>
        </w:rPr>
        <w:t xml:space="preserve">, journals, policy document-guidelines), institutional placements and field visits </w:t>
      </w:r>
    </w:p>
    <w:p w14:paraId="6241997A" w14:textId="77777777" w:rsidR="00F23521" w:rsidRDefault="00F23521" w:rsidP="00F23521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A10FB9">
        <w:rPr>
          <w:rFonts w:eastAsia="Times New Roman" w:cs="Times New Roman"/>
          <w:i/>
          <w:szCs w:val="24"/>
        </w:rPr>
        <w:lastRenderedPageBreak/>
        <w:t>Equipment:</w:t>
      </w:r>
      <w:r w:rsidRPr="00A10FB9">
        <w:rPr>
          <w:rFonts w:eastAsia="Times New Roman" w:cs="Times New Roman"/>
          <w:szCs w:val="24"/>
        </w:rPr>
        <w:t xml:space="preserve"> LCD projectors, laptops, white board, </w:t>
      </w:r>
      <w:r>
        <w:rPr>
          <w:rFonts w:eastAsia="Times New Roman" w:cs="Times New Roman"/>
          <w:szCs w:val="24"/>
        </w:rPr>
        <w:t>m</w:t>
      </w:r>
      <w:r w:rsidRPr="00A10FB9">
        <w:rPr>
          <w:rFonts w:eastAsia="Times New Roman" w:cs="Times New Roman"/>
          <w:szCs w:val="24"/>
        </w:rPr>
        <w:t xml:space="preserve">arkers and flipcharts, LCD, </w:t>
      </w:r>
      <w:r>
        <w:rPr>
          <w:rFonts w:eastAsia="Times New Roman" w:cs="Times New Roman"/>
          <w:szCs w:val="24"/>
        </w:rPr>
        <w:t>printers</w:t>
      </w:r>
      <w:r w:rsidRPr="00A10FB9">
        <w:rPr>
          <w:rFonts w:eastAsia="Times New Roman" w:cs="Times New Roman"/>
          <w:szCs w:val="24"/>
        </w:rPr>
        <w:t xml:space="preserve">, and </w:t>
      </w:r>
      <w:r>
        <w:rPr>
          <w:rFonts w:eastAsia="Times New Roman" w:cs="Times New Roman"/>
          <w:szCs w:val="24"/>
        </w:rPr>
        <w:t>internet</w:t>
      </w:r>
      <w:r w:rsidRPr="00A10FB9">
        <w:rPr>
          <w:rFonts w:eastAsia="Times New Roman" w:cs="Times New Roman"/>
          <w:szCs w:val="24"/>
        </w:rPr>
        <w:t xml:space="preserve"> access for e-resources.</w:t>
      </w:r>
    </w:p>
    <w:p w14:paraId="09A9DAFB" w14:textId="77777777" w:rsidR="00F23521" w:rsidRPr="00075F9D" w:rsidRDefault="00F23521" w:rsidP="00F23521">
      <w:pPr>
        <w:spacing w:after="0" w:line="360" w:lineRule="auto"/>
        <w:jc w:val="both"/>
        <w:rPr>
          <w:rFonts w:eastAsia="Times New Roman" w:cs="Times New Roman"/>
          <w:sz w:val="8"/>
          <w:szCs w:val="24"/>
        </w:rPr>
      </w:pPr>
    </w:p>
    <w:p w14:paraId="544273BF" w14:textId="77777777" w:rsidR="00F23521" w:rsidRPr="00A10FB9" w:rsidRDefault="00F23521" w:rsidP="00F23521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 w:rsidRPr="00A10FB9">
        <w:rPr>
          <w:rFonts w:cs="Times New Roman"/>
          <w:b/>
          <w:szCs w:val="24"/>
          <w:shd w:val="clear" w:color="auto" w:fill="FFFFFF"/>
        </w:rPr>
        <w:t>Core Reference Materials</w:t>
      </w:r>
    </w:p>
    <w:p w14:paraId="145F58CE" w14:textId="77777777" w:rsidR="00F23521" w:rsidRPr="006F6FA4" w:rsidRDefault="00F23521" w:rsidP="00F23521">
      <w:pPr>
        <w:numPr>
          <w:ilvl w:val="0"/>
          <w:numId w:val="1"/>
        </w:numPr>
        <w:spacing w:after="0" w:line="300" w:lineRule="auto"/>
        <w:contextualSpacing/>
        <w:jc w:val="both"/>
        <w:rPr>
          <w:rFonts w:eastAsia="Times New Roman" w:cs="Times New Roman"/>
          <w:kern w:val="36"/>
          <w:szCs w:val="24"/>
        </w:rPr>
      </w:pPr>
      <w:r w:rsidRPr="006F6FA4">
        <w:rPr>
          <w:rFonts w:cs="Times New Roman"/>
          <w:color w:val="222222"/>
          <w:szCs w:val="24"/>
          <w:shd w:val="clear" w:color="auto" w:fill="FFFFFF"/>
        </w:rPr>
        <w:t>Jamison, D. T. (2018). Disease control priorities: improving health and reducing poverty.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The Lancet</w:t>
      </w:r>
      <w:r w:rsidRPr="006F6FA4">
        <w:rPr>
          <w:rFonts w:cs="Times New Roman"/>
          <w:color w:val="222222"/>
          <w:szCs w:val="24"/>
          <w:shd w:val="clear" w:color="auto" w:fill="FFFFFF"/>
        </w:rPr>
        <w:t>,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391</w:t>
      </w:r>
      <w:r w:rsidRPr="006F6FA4">
        <w:rPr>
          <w:rFonts w:cs="Times New Roman"/>
          <w:color w:val="222222"/>
          <w:szCs w:val="24"/>
          <w:shd w:val="clear" w:color="auto" w:fill="FFFFFF"/>
        </w:rPr>
        <w:t>(10125), e11-e14.</w:t>
      </w:r>
    </w:p>
    <w:p w14:paraId="28DE9853" w14:textId="77777777" w:rsidR="00F23521" w:rsidRPr="006F6FA4" w:rsidRDefault="00F23521" w:rsidP="00F23521">
      <w:pPr>
        <w:numPr>
          <w:ilvl w:val="0"/>
          <w:numId w:val="1"/>
        </w:numPr>
        <w:spacing w:after="0" w:line="300" w:lineRule="auto"/>
        <w:contextualSpacing/>
        <w:jc w:val="both"/>
        <w:rPr>
          <w:rFonts w:eastAsia="Times New Roman" w:cs="Times New Roman"/>
          <w:kern w:val="36"/>
          <w:szCs w:val="24"/>
        </w:rPr>
      </w:pPr>
      <w:r w:rsidRPr="006F6FA4">
        <w:rPr>
          <w:rFonts w:cs="Times New Roman"/>
          <w:color w:val="222222"/>
          <w:szCs w:val="24"/>
          <w:shd w:val="clear" w:color="auto" w:fill="FFFFFF"/>
        </w:rPr>
        <w:t>Katz, R. (2011).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Essentials of public health preparedness</w:t>
      </w:r>
      <w:r w:rsidRPr="006F6FA4">
        <w:rPr>
          <w:rFonts w:cs="Times New Roman"/>
          <w:color w:val="222222"/>
          <w:szCs w:val="24"/>
          <w:shd w:val="clear" w:color="auto" w:fill="FFFFFF"/>
        </w:rPr>
        <w:t>. Jones &amp; Bartlett Publishers.</w:t>
      </w:r>
    </w:p>
    <w:p w14:paraId="7E86788C" w14:textId="77777777" w:rsidR="00F23521" w:rsidRPr="006F6FA4" w:rsidRDefault="00F23521" w:rsidP="00F23521">
      <w:pPr>
        <w:numPr>
          <w:ilvl w:val="0"/>
          <w:numId w:val="1"/>
        </w:numPr>
        <w:spacing w:after="0" w:line="300" w:lineRule="auto"/>
        <w:contextualSpacing/>
        <w:jc w:val="both"/>
        <w:rPr>
          <w:rFonts w:eastAsia="Times New Roman" w:cs="Times New Roman"/>
          <w:kern w:val="36"/>
          <w:szCs w:val="24"/>
        </w:rPr>
      </w:pPr>
      <w:proofErr w:type="spellStart"/>
      <w:r w:rsidRPr="006F6FA4">
        <w:rPr>
          <w:rFonts w:cs="Times New Roman"/>
          <w:color w:val="222222"/>
          <w:szCs w:val="24"/>
          <w:shd w:val="clear" w:color="auto" w:fill="FFFFFF"/>
        </w:rPr>
        <w:t>Landesman</w:t>
      </w:r>
      <w:proofErr w:type="spellEnd"/>
      <w:r w:rsidRPr="006F6FA4">
        <w:rPr>
          <w:rFonts w:cs="Times New Roman"/>
          <w:color w:val="222222"/>
          <w:szCs w:val="24"/>
          <w:shd w:val="clear" w:color="auto" w:fill="FFFFFF"/>
        </w:rPr>
        <w:t xml:space="preserve">, L. Y., &amp; </w:t>
      </w:r>
      <w:proofErr w:type="spellStart"/>
      <w:r w:rsidRPr="006F6FA4">
        <w:rPr>
          <w:rFonts w:cs="Times New Roman"/>
          <w:color w:val="222222"/>
          <w:szCs w:val="24"/>
          <w:shd w:val="clear" w:color="auto" w:fill="FFFFFF"/>
        </w:rPr>
        <w:t>Weisfuse</w:t>
      </w:r>
      <w:proofErr w:type="spellEnd"/>
      <w:r w:rsidRPr="006F6FA4">
        <w:rPr>
          <w:rFonts w:cs="Times New Roman"/>
          <w:color w:val="222222"/>
          <w:szCs w:val="24"/>
          <w:shd w:val="clear" w:color="auto" w:fill="FFFFFF"/>
        </w:rPr>
        <w:t>, I. B. (2013).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Case studies in public health preparedness and response to disasters</w:t>
      </w:r>
      <w:r w:rsidRPr="006F6FA4">
        <w:rPr>
          <w:rFonts w:cs="Times New Roman"/>
          <w:color w:val="222222"/>
          <w:szCs w:val="24"/>
          <w:shd w:val="clear" w:color="auto" w:fill="FFFFFF"/>
        </w:rPr>
        <w:t>. Jones &amp; Bartlett Publishers.</w:t>
      </w:r>
    </w:p>
    <w:p w14:paraId="07CB8F3E" w14:textId="77777777" w:rsidR="00F23521" w:rsidRPr="006F6FA4" w:rsidRDefault="00F23521" w:rsidP="00F23521">
      <w:pPr>
        <w:numPr>
          <w:ilvl w:val="0"/>
          <w:numId w:val="1"/>
        </w:numPr>
        <w:spacing w:after="0" w:line="300" w:lineRule="auto"/>
        <w:contextualSpacing/>
        <w:jc w:val="both"/>
        <w:rPr>
          <w:rFonts w:eastAsia="Times New Roman" w:cs="Times New Roman"/>
          <w:kern w:val="36"/>
          <w:szCs w:val="24"/>
        </w:rPr>
      </w:pPr>
      <w:proofErr w:type="spellStart"/>
      <w:r w:rsidRPr="006F6FA4">
        <w:rPr>
          <w:rFonts w:cs="Times New Roman"/>
          <w:color w:val="222222"/>
          <w:szCs w:val="24"/>
          <w:shd w:val="clear" w:color="auto" w:fill="FFFFFF"/>
        </w:rPr>
        <w:t>Fineberg</w:t>
      </w:r>
      <w:proofErr w:type="spellEnd"/>
      <w:r w:rsidRPr="006F6FA4">
        <w:rPr>
          <w:rFonts w:cs="Times New Roman"/>
          <w:color w:val="222222"/>
          <w:szCs w:val="24"/>
          <w:shd w:val="clear" w:color="auto" w:fill="FFFFFF"/>
        </w:rPr>
        <w:t>, H. V. (2014). Pandemic preparedness and response—lessons from the H1N1 influenza of 2009.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New England Journal of Medicine</w:t>
      </w:r>
      <w:r w:rsidRPr="006F6FA4">
        <w:rPr>
          <w:rFonts w:cs="Times New Roman"/>
          <w:color w:val="222222"/>
          <w:szCs w:val="24"/>
          <w:shd w:val="clear" w:color="auto" w:fill="FFFFFF"/>
        </w:rPr>
        <w:t>,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370</w:t>
      </w:r>
      <w:r w:rsidRPr="006F6FA4">
        <w:rPr>
          <w:rFonts w:cs="Times New Roman"/>
          <w:color w:val="222222"/>
          <w:szCs w:val="24"/>
          <w:shd w:val="clear" w:color="auto" w:fill="FFFFFF"/>
        </w:rPr>
        <w:t>(14), 1335-1342.</w:t>
      </w:r>
    </w:p>
    <w:p w14:paraId="27430515" w14:textId="77777777" w:rsidR="00F23521" w:rsidRDefault="00F23521" w:rsidP="00F23521">
      <w:pPr>
        <w:spacing w:after="0" w:line="360" w:lineRule="auto"/>
        <w:ind w:left="720"/>
        <w:contextualSpacing/>
        <w:jc w:val="both"/>
        <w:rPr>
          <w:rFonts w:eastAsia="Times New Roman" w:cs="Times New Roman"/>
          <w:kern w:val="36"/>
          <w:szCs w:val="24"/>
        </w:rPr>
      </w:pPr>
    </w:p>
    <w:p w14:paraId="5126BC03" w14:textId="77777777" w:rsidR="00F23521" w:rsidRPr="008C109F" w:rsidRDefault="00F23521" w:rsidP="00F23521">
      <w:pPr>
        <w:spacing w:after="0" w:line="360" w:lineRule="auto"/>
        <w:contextualSpacing/>
        <w:jc w:val="both"/>
        <w:rPr>
          <w:rFonts w:eastAsia="Times New Roman" w:cs="Times New Roman"/>
          <w:kern w:val="36"/>
          <w:szCs w:val="24"/>
        </w:rPr>
      </w:pPr>
      <w:r w:rsidRPr="008C109F">
        <w:rPr>
          <w:rFonts w:cs="Times New Roman"/>
          <w:b/>
          <w:szCs w:val="24"/>
        </w:rPr>
        <w:t>Recommended Reference Materials</w:t>
      </w:r>
    </w:p>
    <w:p w14:paraId="5607A092" w14:textId="77777777" w:rsidR="00F23521" w:rsidRPr="00202475" w:rsidRDefault="00F23521" w:rsidP="00F23521">
      <w:pPr>
        <w:numPr>
          <w:ilvl w:val="0"/>
          <w:numId w:val="2"/>
        </w:numPr>
        <w:spacing w:after="0" w:line="300" w:lineRule="auto"/>
        <w:ind w:left="720"/>
        <w:contextualSpacing/>
        <w:jc w:val="both"/>
        <w:rPr>
          <w:rFonts w:eastAsia="Times New Roman" w:cs="Times New Roman"/>
          <w:i/>
          <w:kern w:val="36"/>
          <w:szCs w:val="24"/>
          <w:u w:val="single"/>
        </w:rPr>
      </w:pPr>
      <w:r>
        <w:t xml:space="preserve">Federal Emergency Management Agency. (1996) </w:t>
      </w:r>
      <w:r w:rsidRPr="00202475">
        <w:rPr>
          <w:i/>
        </w:rPr>
        <w:t>Guide for All-Hazard Emergency Operations Planning</w:t>
      </w:r>
      <w:r>
        <w:rPr>
          <w:i/>
        </w:rPr>
        <w:t>.</w:t>
      </w:r>
      <w:r w:rsidRPr="00202475">
        <w:t xml:space="preserve"> Retrieved from https://www.fema.gov/pdf/plan/slg101.pdf</w:t>
      </w:r>
    </w:p>
    <w:p w14:paraId="7DA7E6F0" w14:textId="77777777" w:rsidR="00F23521" w:rsidRPr="00B863AE" w:rsidRDefault="00F23521" w:rsidP="00F23521">
      <w:pPr>
        <w:numPr>
          <w:ilvl w:val="0"/>
          <w:numId w:val="2"/>
        </w:numPr>
        <w:spacing w:after="0" w:line="300" w:lineRule="auto"/>
        <w:ind w:left="720"/>
        <w:contextualSpacing/>
        <w:jc w:val="both"/>
        <w:rPr>
          <w:rFonts w:eastAsia="Times New Roman" w:cs="Times New Roman"/>
          <w:kern w:val="36"/>
          <w:szCs w:val="24"/>
        </w:rPr>
      </w:pPr>
      <w:r w:rsidRPr="00B863AE">
        <w:rPr>
          <w:rFonts w:cs="Times New Roman"/>
          <w:bCs/>
          <w:szCs w:val="24"/>
        </w:rPr>
        <w:t>Federal Emergency Management Institute</w:t>
      </w:r>
      <w:r>
        <w:rPr>
          <w:rFonts w:cs="Times New Roman"/>
          <w:bCs/>
          <w:szCs w:val="24"/>
        </w:rPr>
        <w:t xml:space="preserve"> (2018) An Introduction to the National Incident </w:t>
      </w:r>
      <w:r>
        <w:rPr>
          <w:rFonts w:cs="Times New Roman"/>
          <w:bCs/>
          <w:szCs w:val="24"/>
        </w:rPr>
        <w:tab/>
        <w:t xml:space="preserve">Management </w:t>
      </w:r>
      <w:r>
        <w:rPr>
          <w:rFonts w:cs="Times New Roman"/>
          <w:bCs/>
          <w:szCs w:val="24"/>
        </w:rPr>
        <w:tab/>
        <w:t xml:space="preserve">System. </w:t>
      </w:r>
      <w:r>
        <w:rPr>
          <w:rFonts w:cs="Times New Roman"/>
          <w:bCs/>
          <w:szCs w:val="24"/>
        </w:rPr>
        <w:tab/>
        <w:t xml:space="preserve">Retrieved </w:t>
      </w:r>
      <w:r>
        <w:rPr>
          <w:rFonts w:cs="Times New Roman"/>
          <w:bCs/>
          <w:szCs w:val="24"/>
        </w:rPr>
        <w:tab/>
        <w:t xml:space="preserve">from </w:t>
      </w:r>
      <w:r w:rsidRPr="00B863AE">
        <w:rPr>
          <w:rFonts w:cs="Times New Roman"/>
          <w:bCs/>
          <w:szCs w:val="24"/>
        </w:rPr>
        <w:t>https://training.fema.gov/is/courseoverview.aspx?code=is-700.b&amp;lang=en</w:t>
      </w:r>
    </w:p>
    <w:p w14:paraId="2D538697" w14:textId="77777777" w:rsidR="00F23521" w:rsidRPr="00B863AE" w:rsidRDefault="00F23521" w:rsidP="00F23521">
      <w:pPr>
        <w:numPr>
          <w:ilvl w:val="0"/>
          <w:numId w:val="2"/>
        </w:numPr>
        <w:spacing w:after="0" w:line="300" w:lineRule="auto"/>
        <w:ind w:left="720"/>
        <w:contextualSpacing/>
        <w:jc w:val="both"/>
        <w:rPr>
          <w:rFonts w:eastAsia="Times New Roman" w:cs="Times New Roman"/>
          <w:kern w:val="36"/>
          <w:szCs w:val="24"/>
        </w:rPr>
      </w:pPr>
      <w:r w:rsidRPr="00A10FB9">
        <w:rPr>
          <w:rFonts w:cs="Times New Roman"/>
          <w:szCs w:val="24"/>
        </w:rPr>
        <w:t xml:space="preserve">Centers for Disease Control and Prevention. Public Health Emergency Response Guide for State, Local, and Tribal Public Health Directors. </w:t>
      </w:r>
      <w:r>
        <w:rPr>
          <w:rFonts w:cs="Times New Roman"/>
          <w:szCs w:val="24"/>
        </w:rPr>
        <w:t xml:space="preserve">Retrieved from </w:t>
      </w:r>
      <w:r w:rsidRPr="00B863AE">
        <w:rPr>
          <w:rFonts w:cs="Times New Roman"/>
          <w:szCs w:val="24"/>
        </w:rPr>
        <w:t>https://www.cdc.gov/orr/readiness/00_docs/CDC_PreparednesResponseCapabilities_October2018_Final_508.pdf</w:t>
      </w:r>
    </w:p>
    <w:p w14:paraId="72B791BD" w14:textId="77777777" w:rsidR="004B2B29" w:rsidRDefault="004B2B29"/>
    <w:sectPr w:rsidR="004B2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96C"/>
    <w:multiLevelType w:val="hybridMultilevel"/>
    <w:tmpl w:val="4210D6F0"/>
    <w:lvl w:ilvl="0" w:tplc="379819DE">
      <w:start w:val="1"/>
      <w:numFmt w:val="decimal"/>
      <w:lvlText w:val="%1."/>
      <w:lvlJc w:val="left"/>
      <w:pPr>
        <w:ind w:left="45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43305481"/>
    <w:multiLevelType w:val="hybridMultilevel"/>
    <w:tmpl w:val="4C105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521"/>
    <w:rsid w:val="004B2B29"/>
    <w:rsid w:val="00C55B5E"/>
    <w:rsid w:val="00DA3EC6"/>
    <w:rsid w:val="00F2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298578"/>
  <w15:chartTrackingRefBased/>
  <w15:docId w15:val="{5F437A6A-677B-45EE-B7A9-68ED97FD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3521"/>
    <w:pPr>
      <w:spacing w:after="200" w:line="276" w:lineRule="auto"/>
    </w:pPr>
    <w:rPr>
      <w:rFonts w:ascii="Times New Roman" w:eastAsia="Calibri" w:hAnsi="Times New Roman" w:cs="Tung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5B5E"/>
    <w:pPr>
      <w:keepNext/>
      <w:keepLines/>
      <w:spacing w:before="40" w:after="0" w:line="240" w:lineRule="auto"/>
      <w:outlineLvl w:val="1"/>
    </w:pPr>
    <w:rPr>
      <w:b/>
      <w:color w:val="000000" w:themeColor="tex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E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autoRedefine/>
    <w:qFormat/>
    <w:rsid w:val="00DA3EC6"/>
  </w:style>
  <w:style w:type="character" w:customStyle="1" w:styleId="Style2Char">
    <w:name w:val="Style2 Char"/>
    <w:basedOn w:val="Heading1Char"/>
    <w:link w:val="Style2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yle3">
    <w:name w:val="Style3"/>
    <w:basedOn w:val="Heading1"/>
    <w:link w:val="Style3Char"/>
    <w:qFormat/>
    <w:rsid w:val="00DA3EC6"/>
  </w:style>
  <w:style w:type="character" w:customStyle="1" w:styleId="Style3Char">
    <w:name w:val="Style3 Char"/>
    <w:basedOn w:val="Heading1Char"/>
    <w:link w:val="Style3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EC6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2Char">
    <w:name w:val="Heading 2 Char"/>
    <w:link w:val="Heading2"/>
    <w:uiPriority w:val="9"/>
    <w:rsid w:val="00C55B5E"/>
    <w:rPr>
      <w:rFonts w:ascii="Times New Roman" w:hAnsi="Times New Roman"/>
      <w:b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2738</Characters>
  <Application>Microsoft Office Word</Application>
  <DocSecurity>0</DocSecurity>
  <Lines>55</Lines>
  <Paragraphs>21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Salvias</dc:creator>
  <cp:keywords/>
  <dc:description/>
  <cp:lastModifiedBy>Salvias</cp:lastModifiedBy>
  <cp:revision>1</cp:revision>
  <dcterms:created xsi:type="dcterms:W3CDTF">2024-04-16T09:49:00Z</dcterms:created>
  <dcterms:modified xsi:type="dcterms:W3CDTF">2024-04-16T09:50:00Z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e86bf1ab-6c56-4ebe-a17e-4002dc6aa817</vt:lpwstr>
  </property>
</Properties>
</file>