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F4657" w14:textId="77777777" w:rsidR="006360FE" w:rsidRPr="004851A2" w:rsidRDefault="006360FE" w:rsidP="006360FE">
      <w:pPr>
        <w:pStyle w:val="Heading2"/>
        <w:spacing w:before="0"/>
      </w:pPr>
      <w:bookmarkStart w:id="0" w:name="_Toc134044870"/>
      <w:bookmarkStart w:id="1" w:name="_Toc125714598"/>
      <w:r w:rsidRPr="004851A2">
        <w:t>POH 107: Detection, Identification</w:t>
      </w:r>
      <w:r>
        <w:t>, a</w:t>
      </w:r>
      <w:r w:rsidRPr="004851A2">
        <w:t xml:space="preserve">nd Monitoring </w:t>
      </w:r>
      <w:r>
        <w:t>o</w:t>
      </w:r>
      <w:r w:rsidRPr="004851A2">
        <w:t>f Pandemics</w:t>
      </w:r>
      <w:bookmarkEnd w:id="0"/>
      <w:r w:rsidRPr="004851A2">
        <w:t xml:space="preserve"> </w:t>
      </w:r>
      <w:bookmarkEnd w:id="1"/>
    </w:p>
    <w:p w14:paraId="556970FF" w14:textId="77777777" w:rsidR="006360FE" w:rsidRDefault="006360FE" w:rsidP="006360FE">
      <w:pPr>
        <w:spacing w:after="0" w:line="360" w:lineRule="auto"/>
        <w:jc w:val="both"/>
        <w:rPr>
          <w:rFonts w:cs="Times New Roman"/>
          <w:szCs w:val="24"/>
        </w:rPr>
      </w:pPr>
    </w:p>
    <w:p w14:paraId="6577A131" w14:textId="77777777" w:rsidR="006360FE" w:rsidRPr="006360FE" w:rsidRDefault="006360FE" w:rsidP="006360FE">
      <w:pPr>
        <w:spacing w:after="0" w:line="360" w:lineRule="auto"/>
        <w:jc w:val="both"/>
        <w:rPr>
          <w:rFonts w:cs="Times New Roman"/>
          <w:b/>
          <w:szCs w:val="24"/>
        </w:rPr>
      </w:pPr>
      <w:bookmarkStart w:id="2" w:name="_GoBack"/>
      <w:r w:rsidRPr="006360FE">
        <w:rPr>
          <w:rFonts w:cs="Times New Roman"/>
          <w:b/>
          <w:szCs w:val="24"/>
        </w:rPr>
        <w:t xml:space="preserve">Module Overview </w:t>
      </w:r>
    </w:p>
    <w:bookmarkEnd w:id="2"/>
    <w:p w14:paraId="77A4E36B" w14:textId="56DC88C4" w:rsidR="006360FE" w:rsidRPr="00E63992" w:rsidRDefault="006360FE" w:rsidP="006360FE">
      <w:pPr>
        <w:spacing w:after="0" w:line="360" w:lineRule="auto"/>
        <w:jc w:val="both"/>
        <w:rPr>
          <w:rFonts w:cs="Times New Roman"/>
          <w:szCs w:val="24"/>
        </w:rPr>
      </w:pPr>
      <w:r>
        <w:rPr>
          <w:rFonts w:cs="Times New Roman"/>
          <w:szCs w:val="24"/>
        </w:rPr>
        <w:t>Terms used in disease surveillance</w:t>
      </w:r>
      <w:r w:rsidRPr="00E63992">
        <w:rPr>
          <w:rFonts w:cs="Times New Roman"/>
          <w:szCs w:val="24"/>
        </w:rPr>
        <w:t xml:space="preserve">, </w:t>
      </w:r>
      <w:r>
        <w:rPr>
          <w:rFonts w:cs="Times New Roman"/>
          <w:szCs w:val="24"/>
        </w:rPr>
        <w:t xml:space="preserve">outbreak, cluster, mortality, morbidity, measurable factor, Types of surveillance, active surveillance, passive surveillance, syndromic surveillance, integrated surveillance sentinel surveillance, event based surveillance; Components of surveillance, scope and cycles of surveillance, surveillance methods; Data and data sources in surveillance; interpretation of data and dissemination of information; Ethical and legal issues in surveillance; </w:t>
      </w:r>
      <w:r w:rsidRPr="00E63992">
        <w:rPr>
          <w:rFonts w:cs="Times New Roman"/>
          <w:szCs w:val="24"/>
        </w:rPr>
        <w:t>sharing agreements, data management, storage and security, guidelines and policies for equitable sharing of data, data ethics and intellectual properly, technical tools for data sharing, the diversity of data and their management, the identification of the components of good data management plans on how to support.</w:t>
      </w:r>
    </w:p>
    <w:p w14:paraId="0BB5761D" w14:textId="77777777" w:rsidR="006360FE" w:rsidRDefault="006360FE" w:rsidP="006360FE">
      <w:pPr>
        <w:spacing w:after="0" w:line="360" w:lineRule="auto"/>
        <w:jc w:val="both"/>
        <w:rPr>
          <w:rFonts w:cs="Times New Roman"/>
          <w:szCs w:val="24"/>
        </w:rPr>
      </w:pPr>
      <w:r w:rsidRPr="00E63992">
        <w:rPr>
          <w:rFonts w:cs="Times New Roman"/>
          <w:szCs w:val="24"/>
        </w:rPr>
        <w:t xml:space="preserve">Outbreak investigation, </w:t>
      </w:r>
      <w:r>
        <w:rPr>
          <w:rFonts w:cs="Times New Roman"/>
          <w:szCs w:val="24"/>
        </w:rPr>
        <w:t>requirements for an outbreak, sources of outbreak information, purposes for outbreak investigation, steps for Outbreak investigation, preparation, case definition, hypothesis, control measures and communication findings, including attach rates.</w:t>
      </w:r>
    </w:p>
    <w:p w14:paraId="4B80DBED" w14:textId="77777777" w:rsidR="006360FE" w:rsidRPr="00E63992" w:rsidRDefault="006360FE" w:rsidP="006360FE">
      <w:pPr>
        <w:spacing w:after="0" w:line="360" w:lineRule="auto"/>
        <w:jc w:val="both"/>
        <w:rPr>
          <w:rFonts w:cs="Times New Roman"/>
          <w:b/>
          <w:szCs w:val="24"/>
        </w:rPr>
      </w:pPr>
      <w:r w:rsidRPr="00E63992">
        <w:rPr>
          <w:rFonts w:cs="Times New Roman"/>
          <w:b/>
          <w:szCs w:val="24"/>
        </w:rPr>
        <w:t>Mode of Delivery</w:t>
      </w:r>
    </w:p>
    <w:p w14:paraId="2981DF14" w14:textId="77777777" w:rsidR="006360FE" w:rsidRDefault="006360FE" w:rsidP="006360FE">
      <w:pPr>
        <w:spacing w:after="0" w:line="360" w:lineRule="auto"/>
        <w:jc w:val="both"/>
        <w:rPr>
          <w:rFonts w:eastAsia="Times New Roman" w:cs="Times New Roman"/>
        </w:rPr>
      </w:pPr>
      <w:r w:rsidRPr="1870EECB">
        <w:rPr>
          <w:rFonts w:eastAsia="Times New Roman" w:cs="Times New Roman"/>
        </w:rPr>
        <w:t>This includes lectures: problem-based learning using interactive tutorials, small group discussions and written assignments, plenary presentations, case studies, videos, experiential learning through independent/reflective study and field visits and placements and online peer discussions using video clips and conferencing.</w:t>
      </w:r>
    </w:p>
    <w:p w14:paraId="7657BCC8" w14:textId="77777777" w:rsidR="006360FE" w:rsidRPr="00075F9D" w:rsidRDefault="006360FE" w:rsidP="006360FE">
      <w:pPr>
        <w:spacing w:after="0" w:line="360" w:lineRule="auto"/>
        <w:jc w:val="both"/>
        <w:rPr>
          <w:rFonts w:eastAsia="Times New Roman" w:cs="Times New Roman"/>
          <w:sz w:val="10"/>
          <w:szCs w:val="24"/>
        </w:rPr>
      </w:pPr>
    </w:p>
    <w:p w14:paraId="1EF23F8A" w14:textId="77777777" w:rsidR="006360FE" w:rsidRPr="00E63992" w:rsidRDefault="006360FE" w:rsidP="006360FE">
      <w:pPr>
        <w:spacing w:after="0" w:line="360" w:lineRule="auto"/>
        <w:jc w:val="both"/>
        <w:rPr>
          <w:rFonts w:cs="Times New Roman"/>
          <w:b/>
          <w:szCs w:val="24"/>
        </w:rPr>
      </w:pPr>
      <w:r w:rsidRPr="00E63992">
        <w:rPr>
          <w:rFonts w:cs="Times New Roman"/>
          <w:b/>
          <w:szCs w:val="24"/>
        </w:rPr>
        <w:t>Instructional Materials and/or Equipment</w:t>
      </w:r>
    </w:p>
    <w:p w14:paraId="4E7C66C6" w14:textId="77777777" w:rsidR="006360FE" w:rsidRPr="00E63992" w:rsidRDefault="006360FE" w:rsidP="006360FE">
      <w:pPr>
        <w:spacing w:after="0" w:line="360" w:lineRule="auto"/>
        <w:jc w:val="both"/>
        <w:rPr>
          <w:rFonts w:eastAsia="Times New Roman" w:cs="Times New Roman"/>
        </w:rPr>
      </w:pPr>
      <w:r w:rsidRPr="1C493A4B">
        <w:rPr>
          <w:rFonts w:eastAsia="Times New Roman" w:cs="Times New Roman"/>
          <w:i/>
        </w:rPr>
        <w:t>Materials:</w:t>
      </w:r>
      <w:r w:rsidRPr="1C493A4B">
        <w:rPr>
          <w:rFonts w:eastAsia="Times New Roman" w:cs="Times New Roman"/>
        </w:rPr>
        <w:t xml:space="preserve"> Lecture notes and slides, video clips, </w:t>
      </w:r>
      <w:r w:rsidRPr="0AC66EB1">
        <w:rPr>
          <w:rFonts w:eastAsia="Times New Roman" w:cs="Times New Roman"/>
        </w:rPr>
        <w:t>h</w:t>
      </w:r>
      <w:r w:rsidRPr="1C493A4B">
        <w:rPr>
          <w:rFonts w:eastAsia="Times New Roman" w:cs="Times New Roman"/>
        </w:rPr>
        <w:t xml:space="preserve">andouts, case studies, </w:t>
      </w:r>
      <w:r w:rsidRPr="0AC66EB1">
        <w:rPr>
          <w:rFonts w:eastAsia="Times New Roman" w:cs="Times New Roman"/>
        </w:rPr>
        <w:t>r</w:t>
      </w:r>
      <w:r w:rsidRPr="1C493A4B">
        <w:rPr>
          <w:rFonts w:eastAsia="Times New Roman" w:cs="Times New Roman"/>
        </w:rPr>
        <w:t>eference materials (</w:t>
      </w:r>
      <w:r w:rsidRPr="0AC66EB1">
        <w:rPr>
          <w:rFonts w:eastAsia="Times New Roman" w:cs="Times New Roman"/>
        </w:rPr>
        <w:t>textbooks</w:t>
      </w:r>
      <w:r w:rsidRPr="1C493A4B">
        <w:rPr>
          <w:rFonts w:eastAsia="Times New Roman" w:cs="Times New Roman"/>
        </w:rPr>
        <w:t xml:space="preserve">, journals, policy document-guidelines), institutional placements and field visits </w:t>
      </w:r>
    </w:p>
    <w:p w14:paraId="157FAB60" w14:textId="77777777" w:rsidR="006360FE" w:rsidRDefault="006360FE" w:rsidP="006360FE">
      <w:pPr>
        <w:spacing w:after="0" w:line="360" w:lineRule="auto"/>
        <w:jc w:val="both"/>
        <w:rPr>
          <w:rFonts w:eastAsia="Times New Roman" w:cs="Times New Roman"/>
        </w:rPr>
      </w:pPr>
      <w:r w:rsidRPr="0AC66EB1">
        <w:rPr>
          <w:rFonts w:eastAsia="Times New Roman" w:cs="Times New Roman"/>
          <w:i/>
        </w:rPr>
        <w:t>Equipment:</w:t>
      </w:r>
      <w:r w:rsidRPr="0AC66EB1">
        <w:rPr>
          <w:rFonts w:eastAsia="Times New Roman" w:cs="Times New Roman"/>
        </w:rPr>
        <w:t xml:space="preserve"> LCD projectors, laptops, white board, markers and flipcharts, LCD, printers, </w:t>
      </w:r>
      <w:r>
        <w:rPr>
          <w:rFonts w:eastAsia="Times New Roman" w:cs="Times New Roman"/>
        </w:rPr>
        <w:t>i</w:t>
      </w:r>
      <w:r w:rsidRPr="0AC66EB1">
        <w:rPr>
          <w:rFonts w:eastAsia="Times New Roman" w:cs="Times New Roman"/>
        </w:rPr>
        <w:t>nternet access for e-resources</w:t>
      </w:r>
    </w:p>
    <w:p w14:paraId="5DDE3580" w14:textId="77777777" w:rsidR="006360FE" w:rsidRPr="00075F9D" w:rsidRDefault="006360FE" w:rsidP="006360FE">
      <w:pPr>
        <w:spacing w:after="0" w:line="360" w:lineRule="auto"/>
        <w:jc w:val="both"/>
        <w:rPr>
          <w:rFonts w:eastAsia="Times New Roman" w:cs="Times New Roman"/>
          <w:sz w:val="10"/>
          <w:szCs w:val="24"/>
        </w:rPr>
      </w:pPr>
    </w:p>
    <w:p w14:paraId="30B74F1C" w14:textId="77777777" w:rsidR="006360FE" w:rsidRPr="00E63992" w:rsidRDefault="006360FE" w:rsidP="006360FE">
      <w:pPr>
        <w:spacing w:after="0" w:line="360" w:lineRule="auto"/>
        <w:jc w:val="both"/>
        <w:rPr>
          <w:rFonts w:cs="Times New Roman"/>
          <w:b/>
          <w:szCs w:val="24"/>
        </w:rPr>
      </w:pPr>
      <w:r w:rsidRPr="00E63992">
        <w:rPr>
          <w:rFonts w:cs="Times New Roman"/>
          <w:b/>
          <w:szCs w:val="24"/>
        </w:rPr>
        <w:t>Core Reference Materials</w:t>
      </w:r>
    </w:p>
    <w:p w14:paraId="0362B653" w14:textId="77777777" w:rsidR="006360FE" w:rsidRPr="006F6FA4" w:rsidRDefault="006360FE" w:rsidP="006360FE">
      <w:pPr>
        <w:numPr>
          <w:ilvl w:val="0"/>
          <w:numId w:val="2"/>
        </w:numPr>
        <w:tabs>
          <w:tab w:val="left" w:pos="720"/>
        </w:tabs>
        <w:spacing w:after="0" w:line="300" w:lineRule="auto"/>
        <w:contextualSpacing/>
        <w:jc w:val="both"/>
        <w:rPr>
          <w:rFonts w:eastAsia="Times New Roman" w:cs="Times New Roman"/>
          <w:szCs w:val="24"/>
        </w:rPr>
      </w:pPr>
      <w:r w:rsidRPr="006F6FA4">
        <w:rPr>
          <w:rFonts w:eastAsia="Times New Roman" w:cs="Times New Roman"/>
          <w:szCs w:val="24"/>
        </w:rPr>
        <w:t>Nap, R. E. (2010). </w:t>
      </w:r>
      <w:r w:rsidRPr="006F6FA4">
        <w:rPr>
          <w:rFonts w:eastAsia="Times New Roman" w:cs="Times New Roman"/>
          <w:i/>
          <w:iCs/>
          <w:szCs w:val="24"/>
        </w:rPr>
        <w:t>Controlling Disease Outbreaks: The Changing Role of Hospitals</w:t>
      </w:r>
      <w:r w:rsidRPr="006F6FA4">
        <w:rPr>
          <w:rFonts w:eastAsia="Times New Roman" w:cs="Times New Roman"/>
          <w:szCs w:val="24"/>
        </w:rPr>
        <w:t>. Nova Science Publishers.</w:t>
      </w:r>
    </w:p>
    <w:p w14:paraId="7CF936C3" w14:textId="77777777" w:rsidR="006360FE" w:rsidRPr="006F6FA4" w:rsidRDefault="006360FE" w:rsidP="006360FE">
      <w:pPr>
        <w:numPr>
          <w:ilvl w:val="0"/>
          <w:numId w:val="2"/>
        </w:numPr>
        <w:spacing w:after="0" w:line="300" w:lineRule="auto"/>
        <w:contextualSpacing/>
        <w:jc w:val="both"/>
        <w:rPr>
          <w:rFonts w:cs="Times New Roman"/>
          <w:szCs w:val="24"/>
        </w:rPr>
      </w:pPr>
      <w:r w:rsidRPr="006F6FA4">
        <w:rPr>
          <w:rFonts w:eastAsia="Times New Roman" w:cs="Times New Roman"/>
          <w:szCs w:val="24"/>
        </w:rPr>
        <w:t>Arias, K. M. (2009). </w:t>
      </w:r>
      <w:r w:rsidRPr="006F6FA4">
        <w:rPr>
          <w:rFonts w:eastAsia="Times New Roman" w:cs="Times New Roman"/>
          <w:i/>
          <w:iCs/>
          <w:szCs w:val="24"/>
        </w:rPr>
        <w:t>Outbreak Investigation, Prevention, and Control in Health Care Settings: Critical Issues in Patient Safety: Critical Issues in Patient Safety</w:t>
      </w:r>
      <w:r w:rsidRPr="006F6FA4">
        <w:rPr>
          <w:rFonts w:eastAsia="Times New Roman" w:cs="Times New Roman"/>
          <w:szCs w:val="24"/>
        </w:rPr>
        <w:t>. Jones &amp; Bartlett Learning.</w:t>
      </w:r>
    </w:p>
    <w:p w14:paraId="7FB6C1E9" w14:textId="77777777" w:rsidR="006360FE" w:rsidRPr="006F6FA4" w:rsidRDefault="006360FE" w:rsidP="006360FE">
      <w:pPr>
        <w:pStyle w:val="Bibliography"/>
        <w:numPr>
          <w:ilvl w:val="0"/>
          <w:numId w:val="2"/>
        </w:numPr>
        <w:spacing w:after="0" w:line="300" w:lineRule="auto"/>
        <w:rPr>
          <w:rFonts w:cs="Times New Roman"/>
          <w:noProof/>
          <w:szCs w:val="24"/>
        </w:rPr>
      </w:pPr>
      <w:r w:rsidRPr="006F6FA4">
        <w:rPr>
          <w:rFonts w:cs="Times New Roman"/>
          <w:noProof/>
          <w:szCs w:val="24"/>
        </w:rPr>
        <w:lastRenderedPageBreak/>
        <w:t xml:space="preserve">Centers for Disease Control and Prevention. (2012). </w:t>
      </w:r>
      <w:r w:rsidRPr="006F6FA4">
        <w:rPr>
          <w:rFonts w:cs="Times New Roman"/>
          <w:i/>
          <w:iCs/>
          <w:noProof/>
          <w:szCs w:val="24"/>
        </w:rPr>
        <w:t>Lesson 1: Introduction to Epidemiology</w:t>
      </w:r>
      <w:r w:rsidRPr="006F6FA4">
        <w:rPr>
          <w:rFonts w:cs="Times New Roman"/>
          <w:noProof/>
          <w:szCs w:val="24"/>
        </w:rPr>
        <w:t>. Retrieved from https://www.cdc.gov/csels/dsepd/ss1978/lesson1/index.html</w:t>
      </w:r>
    </w:p>
    <w:sdt>
      <w:sdtPr>
        <w:rPr>
          <w:rFonts w:cs="Times New Roman"/>
          <w:szCs w:val="24"/>
        </w:rPr>
        <w:id w:val="-573587230"/>
        <w:bibliography/>
      </w:sdtPr>
      <w:sdtContent>
        <w:p w14:paraId="2139F737" w14:textId="77777777" w:rsidR="006360FE" w:rsidRPr="006F6FA4" w:rsidRDefault="006360FE" w:rsidP="006360FE">
          <w:pPr>
            <w:pStyle w:val="Bibliography"/>
            <w:numPr>
              <w:ilvl w:val="0"/>
              <w:numId w:val="2"/>
            </w:numPr>
            <w:spacing w:line="300" w:lineRule="auto"/>
            <w:jc w:val="both"/>
            <w:rPr>
              <w:rFonts w:cs="Times New Roman"/>
              <w:noProof/>
              <w:szCs w:val="24"/>
            </w:rPr>
          </w:pPr>
          <w:r w:rsidRPr="006F6FA4">
            <w:rPr>
              <w:rFonts w:cs="Times New Roman"/>
              <w:szCs w:val="24"/>
            </w:rPr>
            <w:fldChar w:fldCharType="begin"/>
          </w:r>
          <w:r w:rsidRPr="006F6FA4">
            <w:rPr>
              <w:rFonts w:cs="Times New Roman"/>
              <w:szCs w:val="24"/>
            </w:rPr>
            <w:instrText xml:space="preserve"> BIBLIOGRAPHY </w:instrText>
          </w:r>
          <w:r w:rsidRPr="006F6FA4">
            <w:rPr>
              <w:rFonts w:cs="Times New Roman"/>
              <w:szCs w:val="24"/>
            </w:rPr>
            <w:fldChar w:fldCharType="separate"/>
          </w:r>
          <w:r w:rsidRPr="006F6FA4">
            <w:rPr>
              <w:rFonts w:cs="Times New Roman"/>
              <w:noProof/>
              <w:szCs w:val="24"/>
            </w:rPr>
            <w:t xml:space="preserve">The UK Faculty of Public Health. (2016). </w:t>
          </w:r>
          <w:r w:rsidRPr="006F6FA4">
            <w:rPr>
              <w:rFonts w:cs="Times New Roman"/>
              <w:i/>
              <w:iCs/>
              <w:noProof/>
              <w:szCs w:val="24"/>
            </w:rPr>
            <w:t>The steps in outbreak investigation including the use of relevant epidemiological methods</w:t>
          </w:r>
          <w:r w:rsidRPr="006F6FA4">
            <w:rPr>
              <w:rFonts w:cs="Times New Roman"/>
              <w:noProof/>
              <w:szCs w:val="24"/>
            </w:rPr>
            <w:t>. Retrieved from https://www.healthknowledge.org.uk/public-health-textbook/disease-causation-diagnostic/2g-communicable-disease/outbreak-investigation</w:t>
          </w:r>
        </w:p>
        <w:p w14:paraId="47CDBE4A" w14:textId="77777777" w:rsidR="006360FE" w:rsidRPr="00633FA1" w:rsidRDefault="006360FE" w:rsidP="006360FE">
          <w:pPr>
            <w:pStyle w:val="ListParagraph"/>
            <w:tabs>
              <w:tab w:val="left" w:pos="0"/>
            </w:tabs>
            <w:spacing w:line="300" w:lineRule="auto"/>
            <w:ind w:left="0" w:hanging="90"/>
            <w:jc w:val="both"/>
          </w:pPr>
          <w:r w:rsidRPr="006F6FA4">
            <w:rPr>
              <w:rFonts w:cs="Times New Roman"/>
              <w:b/>
              <w:bCs/>
              <w:noProof/>
              <w:szCs w:val="24"/>
            </w:rPr>
            <w:fldChar w:fldCharType="end"/>
          </w:r>
          <w:r w:rsidRPr="00E63992">
            <w:rPr>
              <w:rFonts w:cs="Times New Roman"/>
              <w:b/>
              <w:szCs w:val="24"/>
            </w:rPr>
            <w:t xml:space="preserve">Recommended Reference Materials </w:t>
          </w:r>
        </w:p>
      </w:sdtContent>
    </w:sdt>
    <w:p w14:paraId="3B09F766" w14:textId="77777777" w:rsidR="006360FE" w:rsidRPr="006F6FA4" w:rsidRDefault="006360FE" w:rsidP="006360FE">
      <w:pPr>
        <w:numPr>
          <w:ilvl w:val="0"/>
          <w:numId w:val="1"/>
        </w:numPr>
        <w:tabs>
          <w:tab w:val="left" w:pos="1350"/>
        </w:tabs>
        <w:spacing w:after="0" w:line="300" w:lineRule="auto"/>
        <w:ind w:left="706" w:hanging="346"/>
        <w:jc w:val="both"/>
        <w:rPr>
          <w:rFonts w:cs="Times New Roman"/>
          <w:szCs w:val="24"/>
        </w:rPr>
      </w:pPr>
      <w:r w:rsidRPr="006F6FA4">
        <w:rPr>
          <w:rFonts w:cs="Times New Roman"/>
          <w:color w:val="222222"/>
          <w:szCs w:val="24"/>
          <w:shd w:val="clear" w:color="auto" w:fill="FFFFFF"/>
        </w:rPr>
        <w:t>Dicker, R. C., Coronado, F., Koo, D., &amp; Parrish, R. G. (2006). Principles of epidemiology in public health practice; an introduction to applied epidemiology and biostatistics.</w:t>
      </w:r>
    </w:p>
    <w:p w14:paraId="0864C7B8" w14:textId="77777777" w:rsidR="006360FE" w:rsidRPr="006F6FA4" w:rsidRDefault="006360FE" w:rsidP="006360FE">
      <w:pPr>
        <w:numPr>
          <w:ilvl w:val="0"/>
          <w:numId w:val="1"/>
        </w:numPr>
        <w:tabs>
          <w:tab w:val="left" w:pos="1350"/>
        </w:tabs>
        <w:spacing w:after="0" w:line="300" w:lineRule="auto"/>
        <w:ind w:left="706" w:hanging="346"/>
        <w:jc w:val="both"/>
        <w:rPr>
          <w:rFonts w:cs="Times New Roman"/>
          <w:szCs w:val="24"/>
        </w:rPr>
      </w:pPr>
      <w:proofErr w:type="spellStart"/>
      <w:r w:rsidRPr="006F6FA4">
        <w:rPr>
          <w:rFonts w:cs="Times New Roman"/>
          <w:color w:val="222222"/>
          <w:szCs w:val="24"/>
          <w:shd w:val="clear" w:color="auto" w:fill="FFFFFF"/>
        </w:rPr>
        <w:t>Teutsch</w:t>
      </w:r>
      <w:proofErr w:type="spellEnd"/>
      <w:r w:rsidRPr="006F6FA4">
        <w:rPr>
          <w:rFonts w:cs="Times New Roman"/>
          <w:color w:val="222222"/>
          <w:szCs w:val="24"/>
          <w:shd w:val="clear" w:color="auto" w:fill="FFFFFF"/>
        </w:rPr>
        <w:t>, S. M., &amp; Churchill, R. E. (Eds.). (2000). </w:t>
      </w:r>
      <w:r w:rsidRPr="006F6FA4">
        <w:rPr>
          <w:rFonts w:cs="Times New Roman"/>
          <w:i/>
          <w:iCs/>
          <w:color w:val="222222"/>
          <w:szCs w:val="24"/>
          <w:shd w:val="clear" w:color="auto" w:fill="FFFFFF"/>
        </w:rPr>
        <w:t>Principles and practice of public health surveillance</w:t>
      </w:r>
      <w:r w:rsidRPr="006F6FA4">
        <w:rPr>
          <w:rFonts w:cs="Times New Roman"/>
          <w:color w:val="222222"/>
          <w:szCs w:val="24"/>
          <w:shd w:val="clear" w:color="auto" w:fill="FFFFFF"/>
        </w:rPr>
        <w:t>. Oxford University Press, USA.</w:t>
      </w:r>
    </w:p>
    <w:p w14:paraId="1D4E9225" w14:textId="77777777" w:rsidR="006360FE" w:rsidRPr="006F6FA4" w:rsidRDefault="006360FE" w:rsidP="006360FE">
      <w:pPr>
        <w:numPr>
          <w:ilvl w:val="0"/>
          <w:numId w:val="1"/>
        </w:numPr>
        <w:spacing w:after="0" w:line="300" w:lineRule="auto"/>
        <w:ind w:left="706" w:hanging="346"/>
        <w:jc w:val="both"/>
        <w:rPr>
          <w:rFonts w:cs="Times New Roman"/>
          <w:szCs w:val="24"/>
        </w:rPr>
      </w:pPr>
      <w:r w:rsidRPr="006F6FA4">
        <w:rPr>
          <w:rFonts w:cs="Times New Roman"/>
          <w:color w:val="222222"/>
          <w:szCs w:val="24"/>
          <w:shd w:val="clear" w:color="auto" w:fill="FFFFFF"/>
        </w:rPr>
        <w:t xml:space="preserve">German, R. R., Horan, J. M., Lee, L. M., Milstein, B., &amp; </w:t>
      </w:r>
      <w:proofErr w:type="spellStart"/>
      <w:r w:rsidRPr="006F6FA4">
        <w:rPr>
          <w:rFonts w:cs="Times New Roman"/>
          <w:color w:val="222222"/>
          <w:szCs w:val="24"/>
          <w:shd w:val="clear" w:color="auto" w:fill="FFFFFF"/>
        </w:rPr>
        <w:t>Pertowski</w:t>
      </w:r>
      <w:proofErr w:type="spellEnd"/>
      <w:r w:rsidRPr="006F6FA4">
        <w:rPr>
          <w:rFonts w:cs="Times New Roman"/>
          <w:color w:val="222222"/>
          <w:szCs w:val="24"/>
          <w:shd w:val="clear" w:color="auto" w:fill="FFFFFF"/>
        </w:rPr>
        <w:t>, C. A. (2001). Updated guidelines for evaluating public health surveillance systems; recommendations from the Guidelines Working Group.</w:t>
      </w:r>
    </w:p>
    <w:p w14:paraId="6A496709" w14:textId="77777777" w:rsidR="006360FE" w:rsidRPr="006F6FA4" w:rsidRDefault="006360FE" w:rsidP="006360FE">
      <w:pPr>
        <w:numPr>
          <w:ilvl w:val="0"/>
          <w:numId w:val="1"/>
        </w:numPr>
        <w:spacing w:after="0" w:line="300" w:lineRule="auto"/>
        <w:ind w:left="706" w:hanging="346"/>
        <w:jc w:val="both"/>
        <w:rPr>
          <w:rFonts w:cs="Times New Roman"/>
          <w:szCs w:val="24"/>
        </w:rPr>
      </w:pPr>
      <w:r w:rsidRPr="006F6FA4">
        <w:rPr>
          <w:rFonts w:cs="Times New Roman"/>
          <w:szCs w:val="24"/>
        </w:rPr>
        <w:t>Health Emergency and Disaster Risk Management Framework. Geneva: World Health Organization; 2019.</w:t>
      </w:r>
    </w:p>
    <w:p w14:paraId="464095D1" w14:textId="77777777" w:rsidR="004B2B29" w:rsidRDefault="004B2B29"/>
    <w:sectPr w:rsidR="004B2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8D3532"/>
    <w:multiLevelType w:val="hybridMultilevel"/>
    <w:tmpl w:val="23F9C1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4E8E602C"/>
    <w:multiLevelType w:val="hybridMultilevel"/>
    <w:tmpl w:val="A7DAEDB2"/>
    <w:lvl w:ilvl="0" w:tplc="8B1073A4">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0FE"/>
    <w:rsid w:val="004B2B29"/>
    <w:rsid w:val="006360FE"/>
    <w:rsid w:val="00C55B5E"/>
    <w:rsid w:val="00DA3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93BCF"/>
  <w15:chartTrackingRefBased/>
  <w15:docId w15:val="{3D987F32-AF97-4424-814E-010D6AE53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60FE"/>
    <w:pPr>
      <w:spacing w:after="200" w:line="276" w:lineRule="auto"/>
    </w:pPr>
    <w:rPr>
      <w:rFonts w:ascii="Times New Roman" w:eastAsia="Calibri" w:hAnsi="Times New Roman" w:cs="Tunga"/>
      <w:sz w:val="24"/>
    </w:rPr>
  </w:style>
  <w:style w:type="paragraph" w:styleId="Heading1">
    <w:name w:val="heading 1"/>
    <w:basedOn w:val="Normal"/>
    <w:next w:val="Normal"/>
    <w:link w:val="Heading1Char"/>
    <w:uiPriority w:val="9"/>
    <w:qFormat/>
    <w:rsid w:val="00DA3EC6"/>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qFormat/>
    <w:rsid w:val="00C55B5E"/>
    <w:pPr>
      <w:keepNext/>
      <w:keepLines/>
      <w:spacing w:before="40" w:after="0" w:line="240" w:lineRule="auto"/>
      <w:outlineLvl w:val="1"/>
    </w:pPr>
    <w:rPr>
      <w:b/>
      <w:color w:val="000000" w:themeColor="text1"/>
      <w:sz w:val="26"/>
      <w:szCs w:val="26"/>
    </w:rPr>
  </w:style>
  <w:style w:type="paragraph" w:styleId="Heading4">
    <w:name w:val="heading 4"/>
    <w:basedOn w:val="Normal"/>
    <w:next w:val="Normal"/>
    <w:link w:val="Heading4Char"/>
    <w:uiPriority w:val="9"/>
    <w:semiHidden/>
    <w:unhideWhenUsed/>
    <w:qFormat/>
    <w:rsid w:val="00DA3EC6"/>
    <w:pPr>
      <w:keepNext/>
      <w:keepLines/>
      <w:spacing w:before="40" w:after="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link w:val="Style2Char"/>
    <w:autoRedefine/>
    <w:qFormat/>
    <w:rsid w:val="00DA3EC6"/>
  </w:style>
  <w:style w:type="character" w:customStyle="1" w:styleId="Style2Char">
    <w:name w:val="Style2 Char"/>
    <w:basedOn w:val="Heading1Char"/>
    <w:link w:val="Style2"/>
    <w:rsid w:val="00DA3EC6"/>
    <w:rPr>
      <w:rFonts w:asciiTheme="majorHAnsi" w:eastAsiaTheme="majorEastAsia" w:hAnsiTheme="majorHAnsi" w:cstheme="majorBidi"/>
      <w:color w:val="000000" w:themeColor="text1"/>
      <w:sz w:val="32"/>
      <w:szCs w:val="32"/>
    </w:rPr>
  </w:style>
  <w:style w:type="character" w:customStyle="1" w:styleId="Heading1Char">
    <w:name w:val="Heading 1 Char"/>
    <w:basedOn w:val="DefaultParagraphFont"/>
    <w:link w:val="Heading1"/>
    <w:uiPriority w:val="9"/>
    <w:rsid w:val="00DA3EC6"/>
    <w:rPr>
      <w:rFonts w:asciiTheme="majorHAnsi" w:eastAsiaTheme="majorEastAsia" w:hAnsiTheme="majorHAnsi" w:cstheme="majorBidi"/>
      <w:color w:val="000000" w:themeColor="text1"/>
      <w:sz w:val="32"/>
      <w:szCs w:val="32"/>
    </w:rPr>
  </w:style>
  <w:style w:type="paragraph" w:customStyle="1" w:styleId="Style3">
    <w:name w:val="Style3"/>
    <w:basedOn w:val="Heading1"/>
    <w:link w:val="Style3Char"/>
    <w:qFormat/>
    <w:rsid w:val="00DA3EC6"/>
  </w:style>
  <w:style w:type="character" w:customStyle="1" w:styleId="Style3Char">
    <w:name w:val="Style3 Char"/>
    <w:basedOn w:val="Heading1Char"/>
    <w:link w:val="Style3"/>
    <w:rsid w:val="00DA3EC6"/>
    <w:rPr>
      <w:rFonts w:asciiTheme="majorHAnsi" w:eastAsiaTheme="majorEastAsia" w:hAnsiTheme="majorHAnsi" w:cstheme="majorBidi"/>
      <w:color w:val="000000" w:themeColor="text1"/>
      <w:sz w:val="32"/>
      <w:szCs w:val="32"/>
    </w:rPr>
  </w:style>
  <w:style w:type="character" w:customStyle="1" w:styleId="Heading4Char">
    <w:name w:val="Heading 4 Char"/>
    <w:basedOn w:val="DefaultParagraphFont"/>
    <w:link w:val="Heading4"/>
    <w:uiPriority w:val="9"/>
    <w:semiHidden/>
    <w:rsid w:val="00DA3EC6"/>
    <w:rPr>
      <w:rFonts w:asciiTheme="majorHAnsi" w:eastAsiaTheme="majorEastAsia" w:hAnsiTheme="majorHAnsi" w:cstheme="majorBidi"/>
      <w:i/>
      <w:iCs/>
      <w:color w:val="000000" w:themeColor="text1"/>
    </w:rPr>
  </w:style>
  <w:style w:type="character" w:customStyle="1" w:styleId="Heading2Char">
    <w:name w:val="Heading 2 Char"/>
    <w:link w:val="Heading2"/>
    <w:uiPriority w:val="9"/>
    <w:rsid w:val="00C55B5E"/>
    <w:rPr>
      <w:rFonts w:ascii="Times New Roman" w:hAnsi="Times New Roman"/>
      <w:b/>
      <w:color w:val="000000" w:themeColor="text1"/>
      <w:sz w:val="26"/>
      <w:szCs w:val="26"/>
    </w:rPr>
  </w:style>
  <w:style w:type="paragraph" w:styleId="ListParagraph">
    <w:name w:val="List Paragraph"/>
    <w:basedOn w:val="Normal"/>
    <w:uiPriority w:val="34"/>
    <w:qFormat/>
    <w:rsid w:val="006360FE"/>
    <w:pPr>
      <w:ind w:left="720"/>
      <w:contextualSpacing/>
    </w:pPr>
  </w:style>
  <w:style w:type="paragraph" w:styleId="Bibliography">
    <w:name w:val="Bibliography"/>
    <w:basedOn w:val="Normal"/>
    <w:next w:val="Normal"/>
    <w:uiPriority w:val="37"/>
    <w:unhideWhenUsed/>
    <w:rsid w:val="00636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Wor23</b:Tag>
    <b:SourceType>InternetSite</b:SourceType>
    <b:Guid>{57D4AD24-1B66-4A97-9F7D-CC5C787CDCAD}</b:Guid>
    <b:Title>One Health</b:Title>
    <b:Year>2023</b:Year>
    <b:Author>
      <b:Author>
        <b:Corporate>World Health Organization</b:Corporate>
      </b:Author>
    </b:Author>
    <b:URL>https://www.who.int/news-room/questions-and-answers/item/one-health</b:URL>
    <b:RefOrder>1</b:RefOrder>
  </b:Source>
  <b:Source>
    <b:Tag>The16</b:Tag>
    <b:SourceType>InternetSite</b:SourceType>
    <b:Guid>{1EEE1EF2-39DB-4AD1-92A3-ED729045ACE9}</b:Guid>
    <b:Author>
      <b:Author>
        <b:Corporate>The UK Faculty of Public Health</b:Corporate>
      </b:Author>
    </b:Author>
    <b:Title>The steps in outbreak investigation including the use of relevant epidemiological methods</b:Title>
    <b:Year>2016</b:Year>
    <b:URL>https://www.healthknowledge.org.uk/public-health-textbook/disease-causation-diagnostic/2g-communicable-disease/outbreak-investigation</b:URL>
    <b:RefOrder>1</b:RefOrder>
  </b:Source>
  <b:Source>
    <b:Tag>Foo12</b:Tag>
    <b:SourceType>DocumentFromInternetSite</b:SourceType>
    <b:Guid>{CF441000-7A5F-4604-9215-BB6743E1CD31}</b:Guid>
    <b:Title>A Guide to Resource Mobilization</b:Title>
    <b:Year>2012</b:Year>
    <b:URL>https://www.fao.org/3/i2699e/i2699e00.pdf</b:URL>
    <b:Author>
      <b:Author>
        <b:Corporate>Food and Agriculture Organization (FAO)</b:Corporate>
      </b:Author>
    </b:Author>
    <b:RefOrder>1</b:RefOrder>
  </b:Source>
</b:Sources>
</file>

<file path=customXml/itemProps1.xml><?xml version="1.0" encoding="utf-8"?>
<ds:datastoreItem xmlns:ds="http://schemas.openxmlformats.org/officeDocument/2006/customXml" ds:itemID="{6005482D-7D60-44C3-AA00-18023BB5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2844</Characters>
  <Application>Microsoft Office Word</Application>
  <DocSecurity>0</DocSecurity>
  <Lines>67</Lines>
  <Paragraphs>36</Paragraphs>
  <ScaleCrop>false</ScaleCrop>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Salvias</dc:creator>
  <cp:keywords/>
  <dc:description/>
  <cp:lastModifiedBy>Salvias</cp:lastModifiedBy>
  <cp:revision>1</cp:revision>
  <dcterms:created xsi:type="dcterms:W3CDTF">2024-04-16T09:51:00Z</dcterms:created>
  <dcterms:modified xsi:type="dcterms:W3CDTF">2024-04-16T09:52:00Z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6102c409-0721-4195-a83d-0f219bc58e9f</vt:lpwstr>
  </property>
</Properties>
</file>