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29E93" w14:textId="57DE9B8E" w:rsidR="00200DBF" w:rsidRPr="00B0330B" w:rsidRDefault="00200DBF" w:rsidP="00200DBF">
      <w:pPr>
        <w:pStyle w:val="Heading2"/>
        <w:rPr>
          <w:rFonts w:cs="Times New Roman"/>
          <w:szCs w:val="24"/>
        </w:rPr>
      </w:pPr>
      <w:bookmarkStart w:id="0" w:name="_Toc134044872"/>
      <w:r w:rsidRPr="00E87FBF">
        <w:t xml:space="preserve">POH 110: Gender </w:t>
      </w:r>
      <w:r>
        <w:t>a</w:t>
      </w:r>
      <w:r w:rsidRPr="00E87FBF">
        <w:t xml:space="preserve">nd Ethics </w:t>
      </w:r>
      <w:r>
        <w:t>i</w:t>
      </w:r>
      <w:bookmarkStart w:id="1" w:name="_GoBack"/>
      <w:bookmarkEnd w:id="1"/>
      <w:r w:rsidRPr="00E87FBF">
        <w:t>n Pandemics</w:t>
      </w:r>
      <w:bookmarkEnd w:id="0"/>
      <w:r w:rsidRPr="00E87FBF">
        <w:t xml:space="preserve"> </w:t>
      </w:r>
    </w:p>
    <w:p w14:paraId="5CE1DDB0" w14:textId="77777777" w:rsidR="00200DBF" w:rsidRDefault="00200DBF" w:rsidP="00200DBF">
      <w:pPr>
        <w:spacing w:after="0" w:line="360" w:lineRule="auto"/>
        <w:contextualSpacing/>
        <w:jc w:val="both"/>
        <w:rPr>
          <w:rFonts w:cs="Times New Roman"/>
          <w:b/>
          <w:szCs w:val="24"/>
        </w:rPr>
      </w:pPr>
    </w:p>
    <w:p w14:paraId="21E39FDF" w14:textId="108BC3C4" w:rsidR="00200DBF" w:rsidRPr="00200DBF" w:rsidRDefault="00200DBF" w:rsidP="00200DBF">
      <w:pPr>
        <w:spacing w:after="0" w:line="360" w:lineRule="auto"/>
        <w:contextualSpacing/>
        <w:jc w:val="both"/>
        <w:rPr>
          <w:rFonts w:cs="Times New Roman"/>
          <w:b/>
          <w:szCs w:val="24"/>
        </w:rPr>
      </w:pPr>
      <w:r w:rsidRPr="00200DBF">
        <w:rPr>
          <w:rFonts w:cs="Times New Roman"/>
          <w:b/>
          <w:szCs w:val="24"/>
        </w:rPr>
        <w:t xml:space="preserve">Module Overview </w:t>
      </w:r>
    </w:p>
    <w:p w14:paraId="5E2B0A47" w14:textId="268D9D98" w:rsidR="00200DBF" w:rsidRPr="00A10FB9" w:rsidRDefault="00200DBF" w:rsidP="00200DBF">
      <w:pPr>
        <w:spacing w:after="0" w:line="360" w:lineRule="auto"/>
        <w:contextualSpacing/>
        <w:jc w:val="both"/>
        <w:rPr>
          <w:rFonts w:cs="Times New Roman"/>
          <w:szCs w:val="24"/>
        </w:rPr>
      </w:pPr>
      <w:r w:rsidRPr="00A10FB9">
        <w:rPr>
          <w:rFonts w:cs="Times New Roman"/>
          <w:szCs w:val="24"/>
        </w:rPr>
        <w:t>What is gender; gender concepts (gender blind, gender awareness; gender sensitivity, gender equality; gender equity, gender justice; gender mainstreaming; intersectionality; importance of gender in pandemics preparedness and response; gender issues in pandemics prevention, outbreak, management; identifying gender gaps; advocacy; transformative leadership in engendering pandemics; ethical considerations in pandemics</w:t>
      </w:r>
    </w:p>
    <w:p w14:paraId="3436319E" w14:textId="77777777" w:rsidR="00200DBF" w:rsidRPr="00A10FB9" w:rsidRDefault="00200DBF" w:rsidP="00200DBF">
      <w:pPr>
        <w:spacing w:after="0" w:line="360" w:lineRule="auto"/>
        <w:contextualSpacing/>
        <w:jc w:val="both"/>
        <w:rPr>
          <w:rFonts w:cs="Times New Roman"/>
          <w:szCs w:val="24"/>
        </w:rPr>
      </w:pPr>
      <w:r w:rsidRPr="00A10FB9">
        <w:rPr>
          <w:rFonts w:cs="Times New Roman"/>
          <w:szCs w:val="24"/>
        </w:rPr>
        <w:t xml:space="preserve">Gender roles; Gender analysis, gender disaggregated data, concepts and tools: Gender Analysis Matrix; Social network analysis; Access and control over resources; Communication profile; SWOT analysis; Gender continuum; gender mainstreaming </w:t>
      </w:r>
    </w:p>
    <w:p w14:paraId="1E1A3C7D" w14:textId="77777777" w:rsidR="00200DBF" w:rsidRDefault="00200DBF" w:rsidP="00200DBF">
      <w:pPr>
        <w:spacing w:after="0" w:line="360" w:lineRule="auto"/>
        <w:contextualSpacing/>
        <w:jc w:val="both"/>
        <w:rPr>
          <w:rFonts w:cs="Times New Roman"/>
          <w:szCs w:val="24"/>
        </w:rPr>
      </w:pPr>
      <w:r w:rsidRPr="00A10FB9">
        <w:rPr>
          <w:rFonts w:cs="Times New Roman"/>
          <w:szCs w:val="24"/>
        </w:rPr>
        <w:t>Ethics: Ethical principles, ethical values (equity, equality, respect in access of resources, treatment and care), discrimination.</w:t>
      </w:r>
    </w:p>
    <w:p w14:paraId="6F8F42D3" w14:textId="77777777" w:rsidR="00200DBF" w:rsidRPr="007958F7" w:rsidRDefault="00200DBF" w:rsidP="00200DBF">
      <w:pPr>
        <w:spacing w:after="0" w:line="360" w:lineRule="auto"/>
        <w:contextualSpacing/>
        <w:jc w:val="both"/>
        <w:rPr>
          <w:rFonts w:cs="Times New Roman"/>
          <w:sz w:val="10"/>
          <w:szCs w:val="24"/>
        </w:rPr>
      </w:pPr>
    </w:p>
    <w:p w14:paraId="66039A6D" w14:textId="77777777" w:rsidR="00200DBF" w:rsidRPr="00A10FB9" w:rsidRDefault="00200DBF" w:rsidP="00200DBF">
      <w:pPr>
        <w:spacing w:after="0" w:line="360" w:lineRule="auto"/>
        <w:jc w:val="both"/>
        <w:rPr>
          <w:rFonts w:cs="Times New Roman"/>
          <w:b/>
          <w:szCs w:val="24"/>
          <w:lang w:val="en-GB"/>
        </w:rPr>
      </w:pPr>
      <w:r w:rsidRPr="00A10FB9">
        <w:rPr>
          <w:rFonts w:cs="Times New Roman"/>
          <w:b/>
          <w:szCs w:val="24"/>
          <w:lang w:val="en-GB"/>
        </w:rPr>
        <w:t>Mode of Delivery</w:t>
      </w:r>
    </w:p>
    <w:p w14:paraId="33483884" w14:textId="77777777" w:rsidR="00200DBF" w:rsidRDefault="00200DBF" w:rsidP="00200DBF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A10FB9">
        <w:rPr>
          <w:rFonts w:eastAsia="Times New Roman" w:cs="Times New Roman"/>
          <w:szCs w:val="24"/>
        </w:rPr>
        <w:t>This includes lectures: problem-based learning using interactive tutorials, small group discussions and written assignments, plenary presentations; case studies, role plays, skits, individual reflection, simulation exercises, experiential learning through independent/reflective study and field visits and placements; and online peer discussions using video clips and conferencing.</w:t>
      </w:r>
    </w:p>
    <w:p w14:paraId="74ACEF86" w14:textId="77777777" w:rsidR="00200DBF" w:rsidRPr="007958F7" w:rsidRDefault="00200DBF" w:rsidP="00200DBF">
      <w:pPr>
        <w:spacing w:after="0" w:line="360" w:lineRule="auto"/>
        <w:jc w:val="both"/>
        <w:rPr>
          <w:rFonts w:eastAsia="Times New Roman" w:cs="Times New Roman"/>
          <w:sz w:val="8"/>
          <w:szCs w:val="24"/>
        </w:rPr>
      </w:pPr>
    </w:p>
    <w:p w14:paraId="296DE423" w14:textId="77777777" w:rsidR="00200DBF" w:rsidRPr="00A10FB9" w:rsidRDefault="00200DBF" w:rsidP="00200DBF">
      <w:pPr>
        <w:spacing w:after="0" w:line="360" w:lineRule="auto"/>
        <w:jc w:val="both"/>
        <w:rPr>
          <w:rFonts w:cs="Times New Roman"/>
          <w:b/>
          <w:szCs w:val="24"/>
          <w:lang w:val="en-GB"/>
        </w:rPr>
      </w:pPr>
      <w:r w:rsidRPr="00A10FB9">
        <w:rPr>
          <w:rFonts w:cs="Times New Roman"/>
          <w:b/>
          <w:szCs w:val="24"/>
          <w:lang w:val="en-GB"/>
        </w:rPr>
        <w:t>Instructional Materials and/or Equipment</w:t>
      </w:r>
    </w:p>
    <w:p w14:paraId="77D5E150" w14:textId="77777777" w:rsidR="00200DBF" w:rsidRPr="00A10FB9" w:rsidRDefault="00200DBF" w:rsidP="00200DBF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A10FB9">
        <w:rPr>
          <w:rFonts w:eastAsia="Times New Roman" w:cs="Times New Roman"/>
          <w:i/>
          <w:szCs w:val="24"/>
        </w:rPr>
        <w:t>Materials:</w:t>
      </w:r>
      <w:r w:rsidRPr="00A10FB9">
        <w:rPr>
          <w:rFonts w:eastAsia="Times New Roman" w:cs="Times New Roman"/>
          <w:szCs w:val="24"/>
        </w:rPr>
        <w:t xml:space="preserve"> Lecture notes and slides, video clips, Handouts, case studies, Reference materials (</w:t>
      </w:r>
      <w:r>
        <w:rPr>
          <w:rFonts w:eastAsia="Times New Roman" w:cs="Times New Roman"/>
          <w:szCs w:val="24"/>
        </w:rPr>
        <w:t>text books</w:t>
      </w:r>
      <w:r w:rsidRPr="00A10FB9">
        <w:rPr>
          <w:rFonts w:eastAsia="Times New Roman" w:cs="Times New Roman"/>
          <w:szCs w:val="24"/>
        </w:rPr>
        <w:t xml:space="preserve">, journals, policy document-guidelines), institutional placements and field visits </w:t>
      </w:r>
    </w:p>
    <w:p w14:paraId="6331A8A8" w14:textId="77777777" w:rsidR="00200DBF" w:rsidRDefault="00200DBF" w:rsidP="00200DBF">
      <w:pPr>
        <w:spacing w:after="0" w:line="360" w:lineRule="auto"/>
        <w:jc w:val="both"/>
        <w:rPr>
          <w:rFonts w:eastAsia="Times New Roman" w:cs="Times New Roman"/>
        </w:rPr>
      </w:pPr>
      <w:r w:rsidRPr="4AE76623">
        <w:rPr>
          <w:rFonts w:eastAsia="Times New Roman" w:cs="Times New Roman"/>
          <w:i/>
        </w:rPr>
        <w:t>Equipment:</w:t>
      </w:r>
      <w:r w:rsidRPr="4AE76623">
        <w:rPr>
          <w:rFonts w:eastAsia="Times New Roman" w:cs="Times New Roman"/>
        </w:rPr>
        <w:t xml:space="preserve"> LCD projectors, laptops, white board, </w:t>
      </w:r>
      <w:r w:rsidRPr="0E1AB6DC">
        <w:rPr>
          <w:rFonts w:eastAsia="Times New Roman" w:cs="Times New Roman"/>
        </w:rPr>
        <w:t>m</w:t>
      </w:r>
      <w:r>
        <w:rPr>
          <w:rFonts w:eastAsia="Times New Roman" w:cs="Times New Roman"/>
        </w:rPr>
        <w:t>arkers and flipcharts, LCD,</w:t>
      </w:r>
      <w:r w:rsidRPr="4AE76623">
        <w:rPr>
          <w:rFonts w:eastAsia="Times New Roman" w:cs="Times New Roman"/>
        </w:rPr>
        <w:t xml:space="preserve"> printers, </w:t>
      </w:r>
      <w:r>
        <w:rPr>
          <w:rFonts w:eastAsia="Times New Roman" w:cs="Times New Roman"/>
        </w:rPr>
        <w:t>i</w:t>
      </w:r>
      <w:r w:rsidRPr="4AE76623">
        <w:rPr>
          <w:rFonts w:eastAsia="Times New Roman" w:cs="Times New Roman"/>
        </w:rPr>
        <w:t>nternet access for e-resources.</w:t>
      </w:r>
    </w:p>
    <w:p w14:paraId="032012C5" w14:textId="77777777" w:rsidR="00200DBF" w:rsidRPr="007958F7" w:rsidRDefault="00200DBF" w:rsidP="00200DBF">
      <w:pPr>
        <w:spacing w:after="0" w:line="360" w:lineRule="auto"/>
        <w:jc w:val="both"/>
        <w:rPr>
          <w:rFonts w:eastAsia="Times New Roman" w:cs="Times New Roman"/>
          <w:sz w:val="6"/>
          <w:szCs w:val="24"/>
        </w:rPr>
      </w:pPr>
    </w:p>
    <w:p w14:paraId="007CCBF6" w14:textId="77777777" w:rsidR="00200DBF" w:rsidRDefault="00200DBF" w:rsidP="00200DBF">
      <w:pPr>
        <w:spacing w:after="0" w:line="360" w:lineRule="auto"/>
        <w:jc w:val="both"/>
        <w:rPr>
          <w:rFonts w:eastAsia="SimSun" w:cs="Times New Roman"/>
          <w:b/>
          <w:szCs w:val="24"/>
        </w:rPr>
      </w:pPr>
      <w:r w:rsidRPr="00A10FB9">
        <w:rPr>
          <w:rFonts w:eastAsia="SimSun" w:cs="Times New Roman"/>
          <w:b/>
          <w:szCs w:val="24"/>
        </w:rPr>
        <w:t>Core Reference Materials</w:t>
      </w:r>
      <w:r w:rsidRPr="00A10FB9">
        <w:rPr>
          <w:rFonts w:eastAsia="SimSun" w:cs="Times New Roman"/>
          <w:szCs w:val="24"/>
        </w:rPr>
        <w:t xml:space="preserve"> </w:t>
      </w:r>
    </w:p>
    <w:p w14:paraId="4EA95F48" w14:textId="77777777" w:rsidR="00200DBF" w:rsidRDefault="00200DBF" w:rsidP="00200DBF">
      <w:pPr>
        <w:pStyle w:val="Bibliography"/>
        <w:numPr>
          <w:ilvl w:val="0"/>
          <w:numId w:val="2"/>
        </w:numPr>
        <w:tabs>
          <w:tab w:val="left" w:pos="720"/>
        </w:tabs>
        <w:spacing w:after="0" w:line="300" w:lineRule="auto"/>
        <w:jc w:val="both"/>
        <w:rPr>
          <w:noProof/>
        </w:rPr>
      </w:pPr>
      <w:r>
        <w:rPr>
          <w:noProof/>
        </w:rPr>
        <w:t xml:space="preserve">European Institute for Gender Equality (EIGE). (2016). Institutional Transformation; Gender Mainstreaming Toolkit. Luxembourg: Publications Office of the European Union. Retrieved from </w:t>
      </w:r>
      <w:hyperlink r:id="rId5" w:history="1">
        <w:r w:rsidRPr="00515C17">
          <w:rPr>
            <w:rStyle w:val="Hyperlink"/>
            <w:noProof/>
          </w:rPr>
          <w:t>https://eige.europa.eu/publications/institutional-transformation-gender-mainstreaming-toolkit</w:t>
        </w:r>
      </w:hyperlink>
    </w:p>
    <w:p w14:paraId="52B91F7F" w14:textId="77777777" w:rsidR="00200DBF" w:rsidRPr="004B6BDF" w:rsidRDefault="00200DBF" w:rsidP="00200DBF">
      <w:pPr>
        <w:numPr>
          <w:ilvl w:val="0"/>
          <w:numId w:val="2"/>
        </w:numPr>
        <w:tabs>
          <w:tab w:val="left" w:pos="450"/>
          <w:tab w:val="left" w:pos="900"/>
        </w:tabs>
        <w:spacing w:after="0" w:line="300" w:lineRule="auto"/>
        <w:jc w:val="both"/>
        <w:rPr>
          <w:rFonts w:eastAsia="SimSun" w:cs="Times New Roman"/>
          <w:b/>
          <w:szCs w:val="24"/>
        </w:rPr>
      </w:pPr>
      <w:proofErr w:type="spellStart"/>
      <w:r>
        <w:t>Amuguni</w:t>
      </w:r>
      <w:proofErr w:type="spellEnd"/>
      <w:r>
        <w:t xml:space="preserve">, H., Mugisha, A., </w:t>
      </w:r>
      <w:proofErr w:type="spellStart"/>
      <w:r>
        <w:t>Kyewalabye</w:t>
      </w:r>
      <w:proofErr w:type="spellEnd"/>
      <w:r>
        <w:t xml:space="preserve">, E., </w:t>
      </w:r>
      <w:proofErr w:type="spellStart"/>
      <w:r>
        <w:t>Bagnol</w:t>
      </w:r>
      <w:proofErr w:type="spellEnd"/>
      <w:r>
        <w:t xml:space="preserve">, B., Talmage, R., </w:t>
      </w:r>
      <w:proofErr w:type="spellStart"/>
      <w:r>
        <w:t>Bikaako</w:t>
      </w:r>
      <w:proofErr w:type="spellEnd"/>
      <w:r>
        <w:t xml:space="preserve">, W., &amp; </w:t>
      </w:r>
      <w:proofErr w:type="spellStart"/>
      <w:r>
        <w:t>Naigaga</w:t>
      </w:r>
      <w:proofErr w:type="spellEnd"/>
      <w:r>
        <w:t xml:space="preserve">, I. (2018). </w:t>
      </w:r>
      <w:proofErr w:type="spellStart"/>
      <w:r>
        <w:t>EnGENDERing</w:t>
      </w:r>
      <w:proofErr w:type="spellEnd"/>
      <w:r>
        <w:t xml:space="preserve"> One Health and addressing gender gaps in Infectious disease control and response: Developing a Gender, One Health and Emerging Pandemics </w:t>
      </w:r>
      <w:r>
        <w:lastRenderedPageBreak/>
        <w:t>threat short course for the public health workforce in Africa. Advances in Social Sciences Research Journal, 5(5) 467-479.</w:t>
      </w:r>
    </w:p>
    <w:p w14:paraId="475D0884" w14:textId="77B4D98D" w:rsidR="00200DBF" w:rsidRPr="00200DBF" w:rsidRDefault="00200DBF" w:rsidP="00200DBF">
      <w:pPr>
        <w:numPr>
          <w:ilvl w:val="0"/>
          <w:numId w:val="2"/>
        </w:numPr>
        <w:tabs>
          <w:tab w:val="left" w:pos="450"/>
          <w:tab w:val="left" w:pos="900"/>
        </w:tabs>
        <w:spacing w:after="0" w:line="360" w:lineRule="auto"/>
        <w:jc w:val="both"/>
        <w:rPr>
          <w:rFonts w:cs="Times New Roman"/>
          <w:b/>
          <w:szCs w:val="24"/>
        </w:rPr>
      </w:pPr>
      <w:r>
        <w:rPr>
          <w:noProof/>
        </w:rPr>
        <w:t xml:space="preserve">International Organization for Migration. (2017). </w:t>
      </w:r>
      <w:r w:rsidRPr="00200DBF">
        <w:rPr>
          <w:i/>
          <w:iCs/>
          <w:noProof/>
        </w:rPr>
        <w:t>Assessing Population Mobility Dynamics and Patterns for Public Health Emergency Preparedness and Response.</w:t>
      </w:r>
      <w:r>
        <w:rPr>
          <w:noProof/>
        </w:rPr>
        <w:t xml:space="preserve"> Retrieved </w:t>
      </w:r>
      <w:r>
        <w:rPr>
          <w:noProof/>
        </w:rPr>
        <w:tab/>
        <w:t xml:space="preserve">from </w:t>
      </w:r>
      <w:hyperlink r:id="rId6" w:history="1">
        <w:r w:rsidRPr="00146B6E">
          <w:rPr>
            <w:rStyle w:val="Hyperlink"/>
            <w:noProof/>
          </w:rPr>
          <w:t>https://www.iom.int/sites/g/files/tmzbdl486/files/our_work/DMM/Migration-Health/mhd_infosheet_population_mobility_mapping_intro_2017.pdf</w:t>
        </w:r>
      </w:hyperlink>
    </w:p>
    <w:p w14:paraId="6BB71225" w14:textId="77777777" w:rsidR="00200DBF" w:rsidRDefault="00200DBF" w:rsidP="00200DBF">
      <w:pPr>
        <w:tabs>
          <w:tab w:val="left" w:pos="450"/>
          <w:tab w:val="left" w:pos="900"/>
        </w:tabs>
        <w:spacing w:after="0" w:line="360" w:lineRule="auto"/>
        <w:ind w:left="720"/>
        <w:jc w:val="both"/>
        <w:rPr>
          <w:noProof/>
        </w:rPr>
      </w:pPr>
    </w:p>
    <w:p w14:paraId="77155188" w14:textId="700ADC6C" w:rsidR="00200DBF" w:rsidRPr="00200DBF" w:rsidRDefault="00200DBF" w:rsidP="00200DBF">
      <w:pPr>
        <w:tabs>
          <w:tab w:val="left" w:pos="450"/>
          <w:tab w:val="left" w:pos="900"/>
        </w:tabs>
        <w:spacing w:after="0" w:line="360" w:lineRule="auto"/>
        <w:ind w:left="720"/>
        <w:jc w:val="both"/>
        <w:rPr>
          <w:rFonts w:cs="Times New Roman"/>
          <w:b/>
          <w:szCs w:val="24"/>
        </w:rPr>
      </w:pPr>
      <w:r w:rsidRPr="00200DBF">
        <w:rPr>
          <w:rFonts w:cs="Times New Roman"/>
          <w:b/>
          <w:szCs w:val="24"/>
        </w:rPr>
        <w:t xml:space="preserve">Recommended Reference Materials </w:t>
      </w:r>
    </w:p>
    <w:p w14:paraId="07E5CC4A" w14:textId="77777777" w:rsidR="00200DBF" w:rsidRPr="00555492" w:rsidRDefault="00200DBF" w:rsidP="00200DBF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b/>
          <w:szCs w:val="24"/>
        </w:rPr>
      </w:pPr>
      <w:r w:rsidRPr="00555492">
        <w:rPr>
          <w:rFonts w:cs="Times New Roman"/>
          <w:color w:val="222222"/>
          <w:szCs w:val="24"/>
          <w:shd w:val="clear" w:color="auto" w:fill="FFFFFF"/>
        </w:rPr>
        <w:t>World Health Organization. (2007). Addressing sex and gender in epidemic-prone infectious diseases.</w:t>
      </w:r>
    </w:p>
    <w:p w14:paraId="15DAEC5B" w14:textId="77777777" w:rsidR="00200DBF" w:rsidRPr="00555492" w:rsidRDefault="00200DBF" w:rsidP="00200DBF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Cs w:val="24"/>
        </w:rPr>
      </w:pPr>
      <w:r w:rsidRPr="00555492">
        <w:rPr>
          <w:rFonts w:cs="Times New Roman"/>
          <w:szCs w:val="24"/>
        </w:rPr>
        <w:t xml:space="preserve">David A </w:t>
      </w:r>
      <w:proofErr w:type="spellStart"/>
      <w:r w:rsidRPr="00555492">
        <w:rPr>
          <w:rFonts w:cs="Times New Roman"/>
          <w:szCs w:val="24"/>
        </w:rPr>
        <w:t>Relman</w:t>
      </w:r>
      <w:proofErr w:type="spellEnd"/>
      <w:r w:rsidRPr="00555492">
        <w:rPr>
          <w:rFonts w:cs="Times New Roman"/>
          <w:szCs w:val="24"/>
        </w:rPr>
        <w:t>, E. R. C., &amp; Mack, A. (2010). Infectious disease movement in a borderless world: Workshop summary. In </w:t>
      </w:r>
      <w:r w:rsidRPr="00555492">
        <w:rPr>
          <w:rFonts w:cs="Times New Roman"/>
          <w:i/>
          <w:iCs/>
          <w:szCs w:val="24"/>
        </w:rPr>
        <w:t>Infectious disease movement in a borderless world: Workshop summary.</w:t>
      </w:r>
      <w:r w:rsidRPr="00555492">
        <w:rPr>
          <w:rFonts w:cs="Times New Roman"/>
          <w:szCs w:val="24"/>
        </w:rPr>
        <w:t xml:space="preserve"> National Academies Press.</w:t>
      </w:r>
    </w:p>
    <w:p w14:paraId="79F46300" w14:textId="77777777" w:rsidR="004B2B29" w:rsidRDefault="004B2B29"/>
    <w:sectPr w:rsidR="004B2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E022C"/>
    <w:multiLevelType w:val="hybridMultilevel"/>
    <w:tmpl w:val="CD34F560"/>
    <w:lvl w:ilvl="0" w:tplc="057E21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74B71"/>
    <w:multiLevelType w:val="hybridMultilevel"/>
    <w:tmpl w:val="F558D25A"/>
    <w:lvl w:ilvl="0" w:tplc="53DA31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DBF"/>
    <w:rsid w:val="00200DBF"/>
    <w:rsid w:val="004B2B29"/>
    <w:rsid w:val="00C55B5E"/>
    <w:rsid w:val="00DA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86EF0C"/>
  <w15:chartTrackingRefBased/>
  <w15:docId w15:val="{7652DE77-EAEA-4BB5-B5B7-D68E03E2F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0DBF"/>
    <w:pPr>
      <w:spacing w:after="200" w:line="276" w:lineRule="auto"/>
    </w:pPr>
    <w:rPr>
      <w:rFonts w:ascii="Times New Roman" w:eastAsia="Calibri" w:hAnsi="Times New Roman" w:cs="Tung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5B5E"/>
    <w:pPr>
      <w:keepNext/>
      <w:keepLines/>
      <w:spacing w:before="40" w:after="0" w:line="240" w:lineRule="auto"/>
      <w:outlineLvl w:val="1"/>
    </w:pPr>
    <w:rPr>
      <w:b/>
      <w:color w:val="000000" w:themeColor="tex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E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link w:val="Style2Char"/>
    <w:autoRedefine/>
    <w:qFormat/>
    <w:rsid w:val="00DA3EC6"/>
  </w:style>
  <w:style w:type="character" w:customStyle="1" w:styleId="Style2Char">
    <w:name w:val="Style2 Char"/>
    <w:basedOn w:val="Heading1Char"/>
    <w:link w:val="Style2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yle3">
    <w:name w:val="Style3"/>
    <w:basedOn w:val="Heading1"/>
    <w:link w:val="Style3Char"/>
    <w:qFormat/>
    <w:rsid w:val="00DA3EC6"/>
  </w:style>
  <w:style w:type="character" w:customStyle="1" w:styleId="Style3Char">
    <w:name w:val="Style3 Char"/>
    <w:basedOn w:val="Heading1Char"/>
    <w:link w:val="Style3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EC6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2Char">
    <w:name w:val="Heading 2 Char"/>
    <w:link w:val="Heading2"/>
    <w:uiPriority w:val="9"/>
    <w:rsid w:val="00C55B5E"/>
    <w:rPr>
      <w:rFonts w:ascii="Times New Roman" w:hAnsi="Times New Roman"/>
      <w:b/>
      <w:color w:val="000000" w:themeColor="tex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00DBF"/>
    <w:pPr>
      <w:ind w:left="720"/>
      <w:contextualSpacing/>
    </w:pPr>
  </w:style>
  <w:style w:type="character" w:styleId="Hyperlink">
    <w:name w:val="Hyperlink"/>
    <w:uiPriority w:val="99"/>
    <w:unhideWhenUsed/>
    <w:rsid w:val="00200DBF"/>
    <w:rPr>
      <w:color w:val="0000FF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200DBF"/>
  </w:style>
  <w:style w:type="character" w:styleId="UnresolvedMention">
    <w:name w:val="Unresolved Mention"/>
    <w:basedOn w:val="DefaultParagraphFont"/>
    <w:uiPriority w:val="99"/>
    <w:semiHidden/>
    <w:unhideWhenUsed/>
    <w:rsid w:val="00200D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om.int/sites/g/files/tmzbdl486/files/our_work/DMM/Migration-Health/mhd_infosheet_population_mobility_mapping_intro_2017.pdf" TargetMode="External"/><Relationship Id="rId5" Type="http://schemas.openxmlformats.org/officeDocument/2006/relationships/hyperlink" Target="https://eige.europa.eu/publications/institutional-transformation-gender-mainstreaming-toolk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2831</Characters>
  <Application>Microsoft Office Word</Application>
  <DocSecurity>0</DocSecurity>
  <Lines>51</Lines>
  <Paragraphs>19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Salvias</dc:creator>
  <cp:keywords/>
  <dc:description/>
  <cp:lastModifiedBy>Salvias</cp:lastModifiedBy>
  <cp:revision>1</cp:revision>
  <dcterms:created xsi:type="dcterms:W3CDTF">2024-04-16T09:55:00Z</dcterms:created>
  <dcterms:modified xsi:type="dcterms:W3CDTF">2024-04-16T09:56:00Z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cee383b7-4443-46f4-8e98-08dd990762de</vt:lpwstr>
  </property>
</Properties>
</file>