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D6F22" w14:textId="5F6D1F1F" w:rsidR="00D752C5" w:rsidRPr="00D752C5" w:rsidRDefault="00D752C5" w:rsidP="00D752C5">
      <w:pPr>
        <w:spacing w:after="0" w:line="360" w:lineRule="auto"/>
        <w:jc w:val="both"/>
        <w:rPr>
          <w:rFonts w:cs="Times New Roman"/>
          <w:b/>
          <w:szCs w:val="24"/>
        </w:rPr>
      </w:pPr>
      <w:bookmarkStart w:id="0" w:name="_Toc134044873"/>
      <w:r w:rsidRPr="00D752C5">
        <w:rPr>
          <w:b/>
        </w:rPr>
        <w:t xml:space="preserve">POH 112: Partnerships </w:t>
      </w:r>
      <w:r>
        <w:rPr>
          <w:b/>
        </w:rPr>
        <w:t>a</w:t>
      </w:r>
      <w:r w:rsidRPr="00D752C5">
        <w:rPr>
          <w:b/>
        </w:rPr>
        <w:t xml:space="preserve">nd Resource Mobilization </w:t>
      </w:r>
      <w:proofErr w:type="gramStart"/>
      <w:r w:rsidRPr="00D752C5">
        <w:rPr>
          <w:b/>
        </w:rPr>
        <w:t>In</w:t>
      </w:r>
      <w:proofErr w:type="gramEnd"/>
      <w:r w:rsidRPr="00D752C5">
        <w:rPr>
          <w:b/>
        </w:rPr>
        <w:t xml:space="preserve"> Pandemics</w:t>
      </w:r>
      <w:bookmarkEnd w:id="0"/>
    </w:p>
    <w:p w14:paraId="09D4E505" w14:textId="4762AFC2" w:rsidR="00D752C5" w:rsidRPr="00D752C5" w:rsidRDefault="00D752C5" w:rsidP="00D752C5">
      <w:pPr>
        <w:spacing w:after="0" w:line="360" w:lineRule="auto"/>
        <w:jc w:val="both"/>
        <w:rPr>
          <w:rFonts w:cs="Times New Roman"/>
          <w:b/>
          <w:szCs w:val="24"/>
        </w:rPr>
      </w:pPr>
      <w:r w:rsidRPr="00D752C5">
        <w:rPr>
          <w:rFonts w:cs="Times New Roman"/>
          <w:b/>
          <w:szCs w:val="24"/>
        </w:rPr>
        <w:t xml:space="preserve">Module Overview </w:t>
      </w:r>
    </w:p>
    <w:p w14:paraId="06978B98" w14:textId="00C29034" w:rsidR="00D752C5" w:rsidRDefault="00D752C5" w:rsidP="00D752C5">
      <w:pPr>
        <w:spacing w:after="0" w:line="360" w:lineRule="auto"/>
        <w:jc w:val="both"/>
        <w:rPr>
          <w:rFonts w:cs="Times New Roman"/>
          <w:szCs w:val="24"/>
        </w:rPr>
      </w:pPr>
      <w:r w:rsidRPr="00A10FB9">
        <w:rPr>
          <w:rFonts w:cs="Times New Roman"/>
          <w:szCs w:val="24"/>
        </w:rPr>
        <w:t>Concepts in partnership and resource mobilization for prevention and mitigation</w:t>
      </w:r>
      <w:r>
        <w:rPr>
          <w:rFonts w:cs="Times New Roman"/>
          <w:szCs w:val="24"/>
        </w:rPr>
        <w:t xml:space="preserve"> </w:t>
      </w:r>
      <w:r w:rsidRPr="00A10FB9">
        <w:rPr>
          <w:rFonts w:cs="Times New Roman"/>
          <w:szCs w:val="24"/>
        </w:rPr>
        <w:t>of pandemics; Identification of resources and resource owners for pandemic preparedness</w:t>
      </w:r>
      <w:r>
        <w:rPr>
          <w:rFonts w:cs="Times New Roman"/>
          <w:szCs w:val="24"/>
        </w:rPr>
        <w:t xml:space="preserve"> </w:t>
      </w:r>
      <w:r w:rsidRPr="00A10FB9">
        <w:rPr>
          <w:rFonts w:cs="Times New Roman"/>
          <w:szCs w:val="24"/>
        </w:rPr>
        <w:t>and mitigation; Categorization of multi</w:t>
      </w:r>
      <w:r>
        <w:rPr>
          <w:rFonts w:cs="Times New Roman"/>
          <w:szCs w:val="24"/>
        </w:rPr>
        <w:t>-</w:t>
      </w:r>
      <w:r w:rsidRPr="00A10FB9">
        <w:rPr>
          <w:rFonts w:cs="Times New Roman"/>
          <w:szCs w:val="24"/>
        </w:rPr>
        <w:t>sectoral and multi-disciplinary partnerships for</w:t>
      </w:r>
      <w:r>
        <w:rPr>
          <w:rFonts w:cs="Times New Roman"/>
          <w:szCs w:val="24"/>
        </w:rPr>
        <w:t xml:space="preserve"> </w:t>
      </w:r>
      <w:r w:rsidRPr="00A10FB9">
        <w:rPr>
          <w:rFonts w:cs="Times New Roman"/>
          <w:szCs w:val="24"/>
        </w:rPr>
        <w:t>pandemic preparedness and mitigation; Importance of partnership and resource</w:t>
      </w:r>
      <w:r>
        <w:rPr>
          <w:rFonts w:cs="Times New Roman"/>
          <w:szCs w:val="24"/>
        </w:rPr>
        <w:t xml:space="preserve"> </w:t>
      </w:r>
      <w:r w:rsidRPr="00A10FB9">
        <w:rPr>
          <w:rFonts w:cs="Times New Roman"/>
          <w:szCs w:val="24"/>
        </w:rPr>
        <w:t>mobilization; Strategies for resource mobilization; The Principles and ethical aspects of</w:t>
      </w:r>
      <w:r>
        <w:rPr>
          <w:rFonts w:cs="Times New Roman"/>
          <w:szCs w:val="24"/>
        </w:rPr>
        <w:t xml:space="preserve"> </w:t>
      </w:r>
      <w:r w:rsidRPr="00A10FB9">
        <w:rPr>
          <w:rFonts w:cs="Times New Roman"/>
          <w:szCs w:val="24"/>
        </w:rPr>
        <w:t>partnership and resource mobilization Challenges in partnership and mobilizing</w:t>
      </w:r>
      <w:r>
        <w:rPr>
          <w:rFonts w:cs="Times New Roman"/>
          <w:szCs w:val="24"/>
        </w:rPr>
        <w:t xml:space="preserve"> </w:t>
      </w:r>
      <w:r w:rsidRPr="00A10FB9">
        <w:rPr>
          <w:rFonts w:cs="Times New Roman"/>
          <w:szCs w:val="24"/>
        </w:rPr>
        <w:t xml:space="preserve">resources; Mechanisms and tools for resource mobilization; </w:t>
      </w:r>
      <w:r>
        <w:rPr>
          <w:rFonts w:cs="Times New Roman"/>
          <w:szCs w:val="24"/>
        </w:rPr>
        <w:t xml:space="preserve"> </w:t>
      </w:r>
      <w:r w:rsidRPr="00A10FB9">
        <w:rPr>
          <w:rFonts w:cs="Times New Roman"/>
          <w:szCs w:val="24"/>
        </w:rPr>
        <w:t>monitoring and evaluation of resources and partners; Development of proposals</w:t>
      </w:r>
      <w:r w:rsidR="00BA37BE">
        <w:rPr>
          <w:rFonts w:cs="Times New Roman"/>
          <w:szCs w:val="24"/>
        </w:rPr>
        <w:t xml:space="preserve"> </w:t>
      </w:r>
      <w:bookmarkStart w:id="1" w:name="_GoBack"/>
      <w:bookmarkEnd w:id="1"/>
      <w:r w:rsidRPr="00A10FB9">
        <w:rPr>
          <w:rFonts w:cs="Times New Roman"/>
          <w:szCs w:val="24"/>
        </w:rPr>
        <w:t>with partners for resource mobilization in prevention and mitigation of pandemics</w:t>
      </w:r>
      <w:r>
        <w:rPr>
          <w:rFonts w:cs="Times New Roman"/>
          <w:szCs w:val="24"/>
        </w:rPr>
        <w:t>.</w:t>
      </w:r>
    </w:p>
    <w:p w14:paraId="0F9F1F6F" w14:textId="6006F951" w:rsidR="00D752C5" w:rsidRPr="00A10FB9" w:rsidRDefault="00D752C5" w:rsidP="00D752C5">
      <w:pPr>
        <w:spacing w:after="0" w:line="360" w:lineRule="auto"/>
        <w:jc w:val="both"/>
        <w:rPr>
          <w:rFonts w:cs="Times New Roman"/>
          <w:b/>
          <w:szCs w:val="24"/>
        </w:rPr>
      </w:pPr>
      <w:r w:rsidRPr="00A10FB9">
        <w:rPr>
          <w:rFonts w:cs="Times New Roman"/>
          <w:b/>
          <w:szCs w:val="24"/>
        </w:rPr>
        <w:t>Mode of Delivery</w:t>
      </w:r>
    </w:p>
    <w:p w14:paraId="668592E1" w14:textId="77777777" w:rsidR="00D752C5" w:rsidRDefault="00D752C5" w:rsidP="00D752C5">
      <w:pPr>
        <w:spacing w:after="0" w:line="360" w:lineRule="auto"/>
        <w:jc w:val="both"/>
        <w:rPr>
          <w:rFonts w:eastAsia="Times New Roman" w:cs="Times New Roman"/>
          <w:szCs w:val="24"/>
        </w:rPr>
      </w:pPr>
      <w:r w:rsidRPr="00A10FB9">
        <w:rPr>
          <w:rFonts w:eastAsia="Times New Roman" w:cs="Times New Roman"/>
          <w:szCs w:val="24"/>
        </w:rPr>
        <w:t>This includes lectures: problem-based learning using interactive tutorials, small group discussions and written assignments, plenary presentations; case studies, experiential learning through independent/reflective study and field visits and placements; and online peer discussions using video clips and conferencing</w:t>
      </w:r>
    </w:p>
    <w:p w14:paraId="2D60AC5D" w14:textId="77777777" w:rsidR="00D752C5" w:rsidRPr="000A0C63" w:rsidRDefault="00D752C5" w:rsidP="00D752C5">
      <w:pPr>
        <w:spacing w:after="0" w:line="360" w:lineRule="auto"/>
        <w:jc w:val="both"/>
        <w:rPr>
          <w:rFonts w:eastAsia="Times New Roman" w:cs="Times New Roman"/>
          <w:sz w:val="4"/>
          <w:szCs w:val="24"/>
        </w:rPr>
      </w:pPr>
    </w:p>
    <w:p w14:paraId="70C13177" w14:textId="77777777" w:rsidR="00D752C5" w:rsidRPr="00A10FB9" w:rsidRDefault="00D752C5" w:rsidP="00D752C5">
      <w:pPr>
        <w:spacing w:after="0" w:line="360" w:lineRule="auto"/>
        <w:jc w:val="both"/>
        <w:rPr>
          <w:rFonts w:cs="Times New Roman"/>
          <w:b/>
          <w:szCs w:val="24"/>
        </w:rPr>
      </w:pPr>
      <w:r w:rsidRPr="00A10FB9">
        <w:rPr>
          <w:rFonts w:cs="Times New Roman"/>
          <w:b/>
          <w:szCs w:val="24"/>
        </w:rPr>
        <w:t>Instructional Materials and/or Equipment</w:t>
      </w:r>
    </w:p>
    <w:p w14:paraId="3E939F96" w14:textId="77777777" w:rsidR="00D752C5" w:rsidRPr="00A10FB9" w:rsidRDefault="00D752C5" w:rsidP="00D752C5">
      <w:pPr>
        <w:spacing w:after="0" w:line="360" w:lineRule="auto"/>
        <w:jc w:val="both"/>
        <w:rPr>
          <w:rFonts w:eastAsia="Times New Roman" w:cs="Times New Roman"/>
        </w:rPr>
      </w:pPr>
      <w:r w:rsidRPr="6CA845FD">
        <w:rPr>
          <w:rFonts w:eastAsia="Times New Roman" w:cs="Times New Roman"/>
          <w:i/>
          <w:iCs/>
        </w:rPr>
        <w:t>Materials:</w:t>
      </w:r>
      <w:r w:rsidRPr="6CA845FD">
        <w:rPr>
          <w:rFonts w:eastAsia="Times New Roman" w:cs="Times New Roman"/>
        </w:rPr>
        <w:t xml:space="preserve"> Lecture notes and slides, video clips, handouts, case studies, reference materials (textbooks, journals, policy document-guidelines), institutional placements and field visits </w:t>
      </w:r>
    </w:p>
    <w:p w14:paraId="405E12FC" w14:textId="77777777" w:rsidR="00D752C5" w:rsidRDefault="00D752C5" w:rsidP="00D752C5">
      <w:pPr>
        <w:spacing w:after="0" w:line="360" w:lineRule="auto"/>
        <w:jc w:val="both"/>
        <w:rPr>
          <w:rFonts w:eastAsia="Times New Roman" w:cs="Times New Roman"/>
        </w:rPr>
      </w:pPr>
      <w:r w:rsidRPr="6CA845FD">
        <w:rPr>
          <w:rFonts w:eastAsia="Times New Roman" w:cs="Times New Roman"/>
          <w:i/>
          <w:iCs/>
        </w:rPr>
        <w:t>Equipment:</w:t>
      </w:r>
      <w:r w:rsidRPr="6CA845FD">
        <w:rPr>
          <w:rFonts w:eastAsia="Times New Roman" w:cs="Times New Roman"/>
        </w:rPr>
        <w:t xml:space="preserve"> LCD projectors, laptops, white board, m</w:t>
      </w:r>
      <w:r>
        <w:rPr>
          <w:rFonts w:eastAsia="Times New Roman" w:cs="Times New Roman"/>
        </w:rPr>
        <w:t>arkers and flipcharts, LCD,</w:t>
      </w:r>
      <w:r w:rsidRPr="6CA845FD">
        <w:rPr>
          <w:rFonts w:eastAsia="Times New Roman" w:cs="Times New Roman"/>
        </w:rPr>
        <w:t xml:space="preserve"> printers, </w:t>
      </w:r>
      <w:r>
        <w:rPr>
          <w:rFonts w:eastAsia="Times New Roman" w:cs="Times New Roman"/>
        </w:rPr>
        <w:t>i</w:t>
      </w:r>
      <w:r w:rsidRPr="6CA845FD">
        <w:rPr>
          <w:rFonts w:eastAsia="Times New Roman" w:cs="Times New Roman"/>
        </w:rPr>
        <w:t>nternet access for e-resources</w:t>
      </w:r>
    </w:p>
    <w:p w14:paraId="740B310C" w14:textId="77777777" w:rsidR="00D752C5" w:rsidRPr="000A0C63" w:rsidRDefault="00D752C5" w:rsidP="00D752C5">
      <w:pPr>
        <w:spacing w:after="0" w:line="360" w:lineRule="auto"/>
        <w:jc w:val="both"/>
        <w:rPr>
          <w:rFonts w:eastAsia="Times New Roman" w:cs="Times New Roman"/>
          <w:sz w:val="6"/>
          <w:szCs w:val="24"/>
        </w:rPr>
      </w:pPr>
    </w:p>
    <w:p w14:paraId="6C65A1F4" w14:textId="77777777" w:rsidR="00D752C5" w:rsidRPr="00A10FB9" w:rsidRDefault="00D752C5" w:rsidP="00D752C5">
      <w:pPr>
        <w:spacing w:after="0" w:line="360" w:lineRule="auto"/>
        <w:jc w:val="both"/>
        <w:rPr>
          <w:rFonts w:cs="Times New Roman"/>
          <w:b/>
          <w:szCs w:val="24"/>
        </w:rPr>
      </w:pPr>
      <w:r w:rsidRPr="00A10FB9">
        <w:rPr>
          <w:rFonts w:cs="Times New Roman"/>
          <w:b/>
          <w:szCs w:val="24"/>
        </w:rPr>
        <w:t>Core Reference Materials</w:t>
      </w:r>
    </w:p>
    <w:p w14:paraId="1202EC94" w14:textId="77777777" w:rsidR="00D752C5" w:rsidRDefault="00D752C5" w:rsidP="00D752C5">
      <w:pPr>
        <w:pStyle w:val="Bibliography"/>
        <w:numPr>
          <w:ilvl w:val="0"/>
          <w:numId w:val="1"/>
        </w:numPr>
        <w:spacing w:after="0" w:line="300" w:lineRule="auto"/>
        <w:ind w:left="547"/>
        <w:rPr>
          <w:noProof/>
          <w:szCs w:val="24"/>
        </w:rPr>
      </w:pPr>
      <w:r>
        <w:rPr>
          <w:noProof/>
        </w:rPr>
        <w:t xml:space="preserve">Food and Agriculture Organization (FAO). (2012). </w:t>
      </w:r>
      <w:r>
        <w:rPr>
          <w:i/>
          <w:iCs/>
          <w:noProof/>
        </w:rPr>
        <w:t>A Guide to Resource Mobilization.</w:t>
      </w:r>
      <w:r>
        <w:rPr>
          <w:noProof/>
        </w:rPr>
        <w:t xml:space="preserve"> Retrieved from </w:t>
      </w:r>
      <w:hyperlink r:id="rId5" w:history="1">
        <w:r w:rsidRPr="00515C17">
          <w:rPr>
            <w:rStyle w:val="Hyperlink"/>
            <w:noProof/>
          </w:rPr>
          <w:t>https://www.fao.org/3/i2699e/i2699e00.pdf</w:t>
        </w:r>
      </w:hyperlink>
    </w:p>
    <w:p w14:paraId="153AA2A4" w14:textId="77777777" w:rsidR="00D752C5" w:rsidRDefault="00D752C5" w:rsidP="00D752C5">
      <w:pPr>
        <w:pStyle w:val="Bibliography"/>
        <w:numPr>
          <w:ilvl w:val="0"/>
          <w:numId w:val="1"/>
        </w:numPr>
        <w:spacing w:after="0" w:line="300" w:lineRule="auto"/>
        <w:ind w:left="547"/>
      </w:pPr>
      <w:r>
        <w:rPr>
          <w:noProof/>
        </w:rPr>
        <w:t xml:space="preserve">World Health Organization: Regional office for South- East Asia. (2016). </w:t>
      </w:r>
      <w:r w:rsidRPr="0080036D">
        <w:rPr>
          <w:i/>
          <w:iCs/>
          <w:noProof/>
        </w:rPr>
        <w:t>Resource Mobilization Orientation.</w:t>
      </w:r>
      <w:r>
        <w:rPr>
          <w:noProof/>
        </w:rPr>
        <w:t xml:space="preserve"> Retrieved from </w:t>
      </w:r>
      <w:r w:rsidRPr="0080036D">
        <w:rPr>
          <w:noProof/>
        </w:rPr>
        <w:t>https://apps.who.int/iris/bitstream/handle/10665/252767/facilitator.pdf?sequence=1&amp;isAllowed=y</w:t>
      </w:r>
    </w:p>
    <w:p w14:paraId="057E1BE3" w14:textId="77777777" w:rsidR="00D752C5" w:rsidRDefault="00D752C5" w:rsidP="00D752C5">
      <w:pPr>
        <w:pStyle w:val="Bibliography"/>
        <w:numPr>
          <w:ilvl w:val="0"/>
          <w:numId w:val="1"/>
        </w:numPr>
        <w:spacing w:line="300" w:lineRule="auto"/>
        <w:ind w:left="547"/>
        <w:rPr>
          <w:noProof/>
        </w:rPr>
      </w:pPr>
      <w:r>
        <w:rPr>
          <w:noProof/>
        </w:rPr>
        <w:t xml:space="preserve">International Federation of Red Cross and Red Crescent Societies. (2021). </w:t>
      </w:r>
      <w:r>
        <w:rPr>
          <w:i/>
          <w:iCs/>
          <w:noProof/>
        </w:rPr>
        <w:t>A Red Cross Red Crescent Guide to Community Engagement and Accountability.</w:t>
      </w:r>
      <w:r>
        <w:rPr>
          <w:noProof/>
        </w:rPr>
        <w:t xml:space="preserve"> Retrieved from https://www.ifrc.org/sites/default/files/2021-11/20211020_CEAGuidelines_NEW1.pdf</w:t>
      </w:r>
    </w:p>
    <w:p w14:paraId="520090AE" w14:textId="77777777" w:rsidR="00D752C5" w:rsidRPr="000A0C63" w:rsidRDefault="00D752C5" w:rsidP="00D752C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Times New Roman"/>
          <w:b/>
          <w:sz w:val="8"/>
          <w:szCs w:val="24"/>
        </w:rPr>
      </w:pPr>
    </w:p>
    <w:p w14:paraId="7ABB4C68" w14:textId="77777777" w:rsidR="00D752C5" w:rsidRPr="00A10FB9" w:rsidRDefault="00D752C5" w:rsidP="00D752C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Times New Roman"/>
          <w:b/>
          <w:color w:val="000000"/>
          <w:szCs w:val="24"/>
          <w:u w:val="single"/>
        </w:rPr>
      </w:pPr>
      <w:r w:rsidRPr="00A10FB9">
        <w:rPr>
          <w:rFonts w:cs="Times New Roman"/>
          <w:b/>
          <w:szCs w:val="24"/>
        </w:rPr>
        <w:t xml:space="preserve">Recommended Reference Materials </w:t>
      </w:r>
    </w:p>
    <w:p w14:paraId="7E6F32E1" w14:textId="77777777" w:rsidR="00D752C5" w:rsidRDefault="00D752C5" w:rsidP="00D752C5">
      <w:pPr>
        <w:pStyle w:val="Bibliography"/>
        <w:numPr>
          <w:ilvl w:val="0"/>
          <w:numId w:val="2"/>
        </w:numPr>
        <w:spacing w:after="0" w:line="300" w:lineRule="auto"/>
        <w:ind w:left="634"/>
        <w:jc w:val="both"/>
        <w:rPr>
          <w:noProof/>
        </w:rPr>
      </w:pPr>
      <w:r>
        <w:rPr>
          <w:noProof/>
        </w:rPr>
        <w:lastRenderedPageBreak/>
        <w:t xml:space="preserve">United Nations Central Emergency Response Fund (CERF). (2017). </w:t>
      </w:r>
      <w:r>
        <w:rPr>
          <w:i/>
          <w:iCs/>
          <w:noProof/>
        </w:rPr>
        <w:t>Approach to Resource Mobilisation and Communications.</w:t>
      </w:r>
      <w:r>
        <w:rPr>
          <w:noProof/>
        </w:rPr>
        <w:t xml:space="preserve"> Retrieved from </w:t>
      </w:r>
      <w:hyperlink r:id="rId6" w:history="1">
        <w:r w:rsidRPr="00515C17">
          <w:rPr>
            <w:rStyle w:val="Hyperlink"/>
            <w:noProof/>
          </w:rPr>
          <w:t>https://cerf.un.org/sites/default/files/resources/Approach%20to%20Resource%20Mobilisation%20and%20Communications%202017.pdf</w:t>
        </w:r>
      </w:hyperlink>
    </w:p>
    <w:p w14:paraId="0AFFE0BF" w14:textId="77777777" w:rsidR="00D752C5" w:rsidRDefault="00D752C5" w:rsidP="00D752C5">
      <w:pPr>
        <w:pStyle w:val="Bibliography"/>
        <w:numPr>
          <w:ilvl w:val="0"/>
          <w:numId w:val="2"/>
        </w:numPr>
        <w:spacing w:after="0" w:line="300" w:lineRule="auto"/>
        <w:ind w:left="634"/>
        <w:jc w:val="both"/>
        <w:rPr>
          <w:noProof/>
        </w:rPr>
      </w:pPr>
      <w:r>
        <w:rPr>
          <w:noProof/>
        </w:rPr>
        <w:t xml:space="preserve">Consortium of International Agricultural Research Centers. (2014). </w:t>
      </w:r>
      <w:r w:rsidRPr="006E5F92">
        <w:rPr>
          <w:i/>
          <w:iCs/>
          <w:noProof/>
        </w:rPr>
        <w:t xml:space="preserve">Resource Mobilization </w:t>
      </w:r>
      <w:r>
        <w:rPr>
          <w:i/>
          <w:iCs/>
          <w:noProof/>
        </w:rPr>
        <w:tab/>
      </w:r>
      <w:r w:rsidRPr="006E5F92">
        <w:rPr>
          <w:i/>
          <w:iCs/>
          <w:noProof/>
        </w:rPr>
        <w:t>Strategy.</w:t>
      </w:r>
      <w:r>
        <w:rPr>
          <w:noProof/>
        </w:rPr>
        <w:t xml:space="preserve"> </w:t>
      </w:r>
      <w:r>
        <w:rPr>
          <w:noProof/>
        </w:rPr>
        <w:tab/>
        <w:t xml:space="preserve">Retrieved </w:t>
      </w:r>
      <w:r>
        <w:rPr>
          <w:noProof/>
        </w:rPr>
        <w:tab/>
        <w:t xml:space="preserve">from </w:t>
      </w:r>
      <w:hyperlink r:id="rId7" w:history="1">
        <w:r w:rsidRPr="00515C17">
          <w:rPr>
            <w:rStyle w:val="Hyperlink"/>
            <w:noProof/>
          </w:rPr>
          <w:t>https://cgspace.cgiar.org/bitstream/handle/10947/3267/CGIAR%20Resource%20Mobilization%20Strategy_21_October.pdf?sequence=1</w:t>
        </w:r>
      </w:hyperlink>
    </w:p>
    <w:p w14:paraId="45F721B7" w14:textId="354572B0" w:rsidR="00D752C5" w:rsidRPr="000B4FBF" w:rsidRDefault="00D752C5" w:rsidP="00D752C5">
      <w:pPr>
        <w:pStyle w:val="Bibliography"/>
        <w:numPr>
          <w:ilvl w:val="0"/>
          <w:numId w:val="2"/>
        </w:numPr>
        <w:spacing w:line="300" w:lineRule="auto"/>
        <w:jc w:val="both"/>
        <w:rPr>
          <w:noProof/>
        </w:rPr>
      </w:pPr>
      <w:r>
        <w:rPr>
          <w:noProof/>
        </w:rPr>
        <w:t xml:space="preserve">Catholic Relief Services (CRS). (2016). </w:t>
      </w:r>
      <w:r w:rsidRPr="00D752C5">
        <w:rPr>
          <w:i/>
          <w:iCs/>
          <w:noProof/>
        </w:rPr>
        <w:t>Robust and Sustainable Resource Mobilization: Building Comprehensive Strategies for Resource Mobilization Success.</w:t>
      </w:r>
      <w:r>
        <w:rPr>
          <w:noProof/>
        </w:rPr>
        <w:t xml:space="preserve"> Retrieved from https://ics.crs.org/node/420-Robust%20and%20Sustainable%20Resource%20Mobilization%20Training%20Manual.pdf</w:t>
      </w:r>
    </w:p>
    <w:p w14:paraId="34D553F4" w14:textId="77777777" w:rsidR="00D752C5" w:rsidRPr="00EE679A" w:rsidRDefault="00D752C5" w:rsidP="00D752C5">
      <w:pPr>
        <w:numPr>
          <w:ilvl w:val="0"/>
          <w:numId w:val="2"/>
        </w:numPr>
        <w:spacing w:after="0" w:line="360" w:lineRule="auto"/>
        <w:ind w:left="540"/>
        <w:jc w:val="both"/>
        <w:rPr>
          <w:rFonts w:cs="Times New Roman"/>
          <w:bCs/>
          <w:szCs w:val="24"/>
        </w:rPr>
      </w:pPr>
      <w:r w:rsidRPr="00EE679A">
        <w:rPr>
          <w:rFonts w:cs="Times New Roman"/>
          <w:bCs/>
          <w:szCs w:val="24"/>
        </w:rPr>
        <w:t xml:space="preserve">Partnership during COVID-19: </w:t>
      </w:r>
      <w:hyperlink r:id="rId8" w:history="1">
        <w:r w:rsidRPr="00EE679A">
          <w:rPr>
            <w:rFonts w:cs="Times New Roman"/>
            <w:bCs/>
            <w:szCs w:val="24"/>
            <w:u w:val="single"/>
          </w:rPr>
          <w:t>https://www.youtube.com/watch?v=SPL7ojjfycs</w:t>
        </w:r>
      </w:hyperlink>
    </w:p>
    <w:p w14:paraId="770295BF" w14:textId="77777777" w:rsidR="00D752C5" w:rsidRPr="00EE679A" w:rsidRDefault="00D752C5" w:rsidP="00D752C5">
      <w:pPr>
        <w:numPr>
          <w:ilvl w:val="0"/>
          <w:numId w:val="2"/>
        </w:numPr>
        <w:spacing w:after="0" w:line="360" w:lineRule="auto"/>
        <w:ind w:left="540"/>
        <w:jc w:val="both"/>
        <w:rPr>
          <w:rFonts w:cs="Times New Roman"/>
          <w:bCs/>
          <w:szCs w:val="24"/>
        </w:rPr>
      </w:pPr>
      <w:r w:rsidRPr="00EE679A">
        <w:rPr>
          <w:rFonts w:cs="Times New Roman"/>
          <w:bCs/>
          <w:szCs w:val="24"/>
        </w:rPr>
        <w:t xml:space="preserve">Working in Partnership: </w:t>
      </w:r>
      <w:hyperlink r:id="rId9" w:history="1">
        <w:r w:rsidRPr="00EE679A">
          <w:rPr>
            <w:rFonts w:cs="Times New Roman"/>
            <w:bCs/>
            <w:szCs w:val="24"/>
            <w:u w:val="single"/>
          </w:rPr>
          <w:t>https://www.youtube.com/watch?v=ZPutB_B4Ku8</w:t>
        </w:r>
      </w:hyperlink>
    </w:p>
    <w:p w14:paraId="3937C5FC" w14:textId="77777777" w:rsidR="00D752C5" w:rsidRPr="00EE679A" w:rsidRDefault="00D752C5" w:rsidP="00D752C5">
      <w:pPr>
        <w:numPr>
          <w:ilvl w:val="0"/>
          <w:numId w:val="2"/>
        </w:numPr>
        <w:tabs>
          <w:tab w:val="left" w:pos="180"/>
          <w:tab w:val="left" w:pos="720"/>
        </w:tabs>
        <w:spacing w:after="0"/>
        <w:ind w:left="540"/>
        <w:jc w:val="both"/>
        <w:rPr>
          <w:rFonts w:cs="Times New Roman"/>
          <w:bCs/>
          <w:szCs w:val="24"/>
        </w:rPr>
      </w:pPr>
      <w:r w:rsidRPr="00EE679A">
        <w:rPr>
          <w:rFonts w:cs="Times New Roman"/>
          <w:bCs/>
          <w:szCs w:val="24"/>
        </w:rPr>
        <w:t xml:space="preserve">Why Partnership is at the Core of Effective Healthcare: </w:t>
      </w:r>
      <w:hyperlink r:id="rId10" w:history="1">
        <w:r w:rsidRPr="00EE679A">
          <w:rPr>
            <w:rFonts w:cs="Times New Roman"/>
            <w:bCs/>
            <w:szCs w:val="24"/>
            <w:u w:val="single"/>
          </w:rPr>
          <w:t>https://www.youtube.com/watch?v=JfXY-6rJGHQ</w:t>
        </w:r>
      </w:hyperlink>
    </w:p>
    <w:p w14:paraId="2BB3294B" w14:textId="77777777" w:rsidR="00D752C5" w:rsidRPr="00EE679A" w:rsidRDefault="00D752C5" w:rsidP="00D752C5">
      <w:pPr>
        <w:numPr>
          <w:ilvl w:val="0"/>
          <w:numId w:val="2"/>
        </w:numPr>
        <w:tabs>
          <w:tab w:val="left" w:pos="180"/>
          <w:tab w:val="left" w:pos="720"/>
        </w:tabs>
        <w:spacing w:after="0"/>
        <w:ind w:left="540"/>
        <w:jc w:val="both"/>
        <w:rPr>
          <w:rFonts w:cs="Times New Roman"/>
          <w:bCs/>
          <w:szCs w:val="24"/>
        </w:rPr>
      </w:pPr>
      <w:r w:rsidRPr="00A10FB9">
        <w:rPr>
          <w:rFonts w:cs="Times New Roman"/>
          <w:bCs/>
          <w:szCs w:val="24"/>
        </w:rPr>
        <w:t xml:space="preserve">The Key Ingredients of a Resource Mobilization: </w:t>
      </w:r>
      <w:hyperlink r:id="rId11" w:history="1">
        <w:r w:rsidRPr="00EE679A">
          <w:rPr>
            <w:rFonts w:cs="Times New Roman"/>
            <w:bCs/>
            <w:szCs w:val="24"/>
            <w:u w:val="single"/>
          </w:rPr>
          <w:t>https://www.youtube.com/watch?v=4DhjF5GpqVg&amp;t=10s</w:t>
        </w:r>
      </w:hyperlink>
    </w:p>
    <w:p w14:paraId="1343E66F" w14:textId="77777777" w:rsidR="00D752C5" w:rsidRPr="00EE679A" w:rsidRDefault="00D752C5" w:rsidP="00D752C5">
      <w:pPr>
        <w:numPr>
          <w:ilvl w:val="0"/>
          <w:numId w:val="2"/>
        </w:numPr>
        <w:tabs>
          <w:tab w:val="left" w:pos="180"/>
          <w:tab w:val="left" w:pos="720"/>
        </w:tabs>
        <w:spacing w:after="0"/>
        <w:ind w:left="540"/>
        <w:jc w:val="both"/>
        <w:rPr>
          <w:rFonts w:cs="Times New Roman"/>
          <w:bCs/>
          <w:szCs w:val="24"/>
        </w:rPr>
      </w:pPr>
      <w:r w:rsidRPr="00EE679A">
        <w:rPr>
          <w:rFonts w:cs="Times New Roman"/>
          <w:bCs/>
          <w:szCs w:val="24"/>
        </w:rPr>
        <w:t xml:space="preserve">World Health Assembly Decides to Negotiate Global Accord on Pandemic Preparedness and Response: </w:t>
      </w:r>
      <w:hyperlink r:id="rId12" w:history="1">
        <w:r w:rsidRPr="00EE679A">
          <w:rPr>
            <w:rFonts w:cs="Times New Roman"/>
            <w:bCs/>
            <w:szCs w:val="24"/>
            <w:u w:val="single"/>
          </w:rPr>
          <w:t>https://www.youtube.com/watch?v=YNfLfGOnBOI</w:t>
        </w:r>
      </w:hyperlink>
    </w:p>
    <w:p w14:paraId="20938B27" w14:textId="77777777" w:rsidR="004B2B29" w:rsidRDefault="004B2B29"/>
    <w:sectPr w:rsidR="004B2B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86D33"/>
    <w:multiLevelType w:val="multilevel"/>
    <w:tmpl w:val="46F818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."/>
      <w:lvlJc w:val="left"/>
      <w:pPr>
        <w:ind w:left="720" w:hanging="720"/>
      </w:pPr>
      <w:rPr>
        <w:rFonts w:ascii="Arial" w:hAnsi="Arial" w:cs="Tunga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Arial" w:hAnsi="Arial" w:cs="Tunga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Arial" w:hAnsi="Arial" w:cs="Tunga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Arial" w:hAnsi="Arial" w:cs="Tunga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Arial" w:hAnsi="Arial" w:cs="Tunga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Arial" w:hAnsi="Arial" w:cs="Tunga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Arial" w:hAnsi="Arial" w:cs="Tunga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Arial" w:hAnsi="Arial" w:cs="Tunga" w:hint="default"/>
        <w:color w:val="auto"/>
      </w:rPr>
    </w:lvl>
  </w:abstractNum>
  <w:abstractNum w:abstractNumId="1" w15:restartNumberingAfterBreak="0">
    <w:nsid w:val="5E4C51FA"/>
    <w:multiLevelType w:val="hybridMultilevel"/>
    <w:tmpl w:val="7B3053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2C5"/>
    <w:rsid w:val="004B2B29"/>
    <w:rsid w:val="00BA37BE"/>
    <w:rsid w:val="00C55B5E"/>
    <w:rsid w:val="00D752C5"/>
    <w:rsid w:val="00DA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3CC81B"/>
  <w15:chartTrackingRefBased/>
  <w15:docId w15:val="{BF7797A4-814C-4673-B6B6-7176D4A73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2C5"/>
    <w:pPr>
      <w:spacing w:after="200" w:line="276" w:lineRule="auto"/>
    </w:pPr>
    <w:rPr>
      <w:rFonts w:ascii="Times New Roman" w:eastAsia="Calibri" w:hAnsi="Times New Roman" w:cs="Tunga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3E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C55B5E"/>
    <w:pPr>
      <w:keepNext/>
      <w:keepLines/>
      <w:spacing w:before="40" w:after="0" w:line="240" w:lineRule="auto"/>
      <w:outlineLvl w:val="1"/>
    </w:pPr>
    <w:rPr>
      <w:b/>
      <w:color w:val="000000" w:themeColor="tex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3EC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Heading1"/>
    <w:link w:val="Style2Char"/>
    <w:autoRedefine/>
    <w:qFormat/>
    <w:rsid w:val="00DA3EC6"/>
  </w:style>
  <w:style w:type="character" w:customStyle="1" w:styleId="Style2Char">
    <w:name w:val="Style2 Char"/>
    <w:basedOn w:val="Heading1Char"/>
    <w:link w:val="Style2"/>
    <w:rsid w:val="00DA3E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DA3E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customStyle="1" w:styleId="Style3">
    <w:name w:val="Style3"/>
    <w:basedOn w:val="Heading1"/>
    <w:link w:val="Style3Char"/>
    <w:qFormat/>
    <w:rsid w:val="00DA3EC6"/>
  </w:style>
  <w:style w:type="character" w:customStyle="1" w:styleId="Style3Char">
    <w:name w:val="Style3 Char"/>
    <w:basedOn w:val="Heading1Char"/>
    <w:link w:val="Style3"/>
    <w:rsid w:val="00DA3E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3EC6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Heading2Char">
    <w:name w:val="Heading 2 Char"/>
    <w:link w:val="Heading2"/>
    <w:uiPriority w:val="9"/>
    <w:rsid w:val="00C55B5E"/>
    <w:rPr>
      <w:rFonts w:ascii="Times New Roman" w:hAnsi="Times New Roman"/>
      <w:b/>
      <w:color w:val="000000" w:themeColor="text1"/>
      <w:sz w:val="26"/>
      <w:szCs w:val="26"/>
    </w:rPr>
  </w:style>
  <w:style w:type="character" w:styleId="Hyperlink">
    <w:name w:val="Hyperlink"/>
    <w:uiPriority w:val="99"/>
    <w:unhideWhenUsed/>
    <w:rsid w:val="00D752C5"/>
    <w:rPr>
      <w:color w:val="0000FF"/>
      <w:u w:val="single"/>
    </w:rPr>
  </w:style>
  <w:style w:type="paragraph" w:styleId="Bibliography">
    <w:name w:val="Bibliography"/>
    <w:basedOn w:val="Normal"/>
    <w:next w:val="Normal"/>
    <w:uiPriority w:val="37"/>
    <w:unhideWhenUsed/>
    <w:rsid w:val="00D752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PL7ojjfyc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gspace.cgiar.org/bitstream/handle/10947/3267/CGIAR%20Resource%20Mobilization%20Strategy_21_October.pdf?sequence=1" TargetMode="External"/><Relationship Id="rId12" Type="http://schemas.openxmlformats.org/officeDocument/2006/relationships/hyperlink" Target="https://www.youtube.com/watch?v=YNfLfGOnBO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erf.un.org/sites/default/files/resources/Approach%20to%20Resource%20Mobilisation%20and%20Communications%202017.pdf" TargetMode="External"/><Relationship Id="rId11" Type="http://schemas.openxmlformats.org/officeDocument/2006/relationships/hyperlink" Target="https://www.youtube.com/watch?v=4DhjF5GpqVg&amp;t=10s" TargetMode="External"/><Relationship Id="rId5" Type="http://schemas.openxmlformats.org/officeDocument/2006/relationships/hyperlink" Target="https://www.fao.org/3/i2699e/i2699e00.pdf" TargetMode="External"/><Relationship Id="rId10" Type="http://schemas.openxmlformats.org/officeDocument/2006/relationships/hyperlink" Target="https://www.youtube.com/watch?v=JfXY-6rJGH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ZPutB_B4Ku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338</Words>
  <Characters>3085</Characters>
  <Application>Microsoft Office Word</Application>
  <DocSecurity>0</DocSecurity>
  <Lines>54</Lines>
  <Paragraphs>21</Paragraphs>
  <ScaleCrop>false</ScaleCrop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Salvias</dc:creator>
  <cp:keywords/>
  <dc:description/>
  <cp:lastModifiedBy>Salvias</cp:lastModifiedBy>
  <cp:revision>2</cp:revision>
  <dcterms:created xsi:type="dcterms:W3CDTF">2024-04-16T09:57:00Z</dcterms:created>
  <dcterms:modified xsi:type="dcterms:W3CDTF">2024-04-16T10:07:00Z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3df81d2e-b06d-4f6a-95ab-81028edca403</vt:lpwstr>
  </property>
</Properties>
</file>