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438CC" w14:textId="598C66EC" w:rsidR="00156795" w:rsidRPr="00156795" w:rsidRDefault="00156795" w:rsidP="00156795">
      <w:pPr>
        <w:spacing w:after="0" w:line="360" w:lineRule="auto"/>
        <w:jc w:val="both"/>
        <w:rPr>
          <w:rFonts w:cs="Times New Roman"/>
          <w:b/>
          <w:szCs w:val="24"/>
        </w:rPr>
      </w:pPr>
      <w:bookmarkStart w:id="0" w:name="_Toc134044874"/>
      <w:r w:rsidRPr="00156795">
        <w:rPr>
          <w:b/>
        </w:rPr>
        <w:t>POH 113: BIOTECHNOLOGY, BIOSAFETY, BIOSECURITY AND PANDEMICS</w:t>
      </w:r>
      <w:bookmarkEnd w:id="0"/>
    </w:p>
    <w:p w14:paraId="542A447F" w14:textId="05247E0C" w:rsidR="00156795" w:rsidRPr="00E63992" w:rsidRDefault="00156795" w:rsidP="00156795">
      <w:pPr>
        <w:spacing w:after="0" w:line="360" w:lineRule="auto"/>
        <w:jc w:val="both"/>
        <w:rPr>
          <w:rFonts w:cs="Times New Roman"/>
          <w:b/>
          <w:szCs w:val="24"/>
        </w:rPr>
      </w:pPr>
      <w:r>
        <w:rPr>
          <w:rFonts w:cs="Times New Roman"/>
          <w:b/>
          <w:szCs w:val="24"/>
        </w:rPr>
        <w:t>Module Overview</w:t>
      </w:r>
      <w:r w:rsidRPr="00E63992">
        <w:rPr>
          <w:rFonts w:cs="Times New Roman"/>
          <w:b/>
          <w:szCs w:val="24"/>
        </w:rPr>
        <w:t xml:space="preserve"> </w:t>
      </w:r>
      <w:bookmarkStart w:id="1" w:name="_GoBack"/>
      <w:bookmarkEnd w:id="1"/>
    </w:p>
    <w:p w14:paraId="74929214" w14:textId="77777777" w:rsidR="00156795" w:rsidRPr="00E63992" w:rsidRDefault="00156795" w:rsidP="00156795">
      <w:pPr>
        <w:spacing w:after="0" w:line="360" w:lineRule="auto"/>
        <w:jc w:val="both"/>
        <w:rPr>
          <w:rFonts w:cs="Times New Roman"/>
          <w:szCs w:val="24"/>
        </w:rPr>
      </w:pPr>
      <w:r w:rsidRPr="00E63992">
        <w:rPr>
          <w:rFonts w:cs="Times New Roman"/>
          <w:szCs w:val="24"/>
        </w:rPr>
        <w:t xml:space="preserve">Definitions of the terms Biosafety, Biosecurity, Bio-economy and Biotechnology concerning genetic Engineering and biotechnology, Evolution in using synthetic genomics, and Synthetic genomes. Overview of synthetic biology and its application, technological developments in life science, development and application, Application of Bio-Economy-Agriculture, Health, Industrial and Environmental sector. East African Community bio-economy strategy and policies, Packaging and Shipping/Sample handling/Labelling of infectious materials; (the transport chain, Road regulations, Air transport, Railway transport, Transport by Sea, Transport by Post, Air Mail, Public Transport), </w:t>
      </w:r>
    </w:p>
    <w:p w14:paraId="35FAF038" w14:textId="77777777" w:rsidR="00156795" w:rsidRDefault="00156795" w:rsidP="00156795">
      <w:pPr>
        <w:spacing w:after="0" w:line="360" w:lineRule="auto"/>
        <w:jc w:val="both"/>
        <w:rPr>
          <w:rFonts w:cs="Times New Roman"/>
          <w:szCs w:val="24"/>
        </w:rPr>
      </w:pPr>
      <w:r w:rsidRPr="00E63992">
        <w:rPr>
          <w:rFonts w:cs="Times New Roman"/>
          <w:szCs w:val="24"/>
        </w:rPr>
        <w:t xml:space="preserve">Potential Risks for Synthetic Genomics/Dual Use issues in Biotechnology, Biological weapons and Bioterrorism, International regimes related to dual-use aspects (CBRN, WMD, UN Security Council Resolution 1540, Biological Weapons Convection 1970), Cartagena Protocol on GMOs and Global Health Security Agenda. </w:t>
      </w:r>
    </w:p>
    <w:p w14:paraId="76DE5DFF" w14:textId="77777777" w:rsidR="00156795" w:rsidRPr="00566B42" w:rsidRDefault="00156795" w:rsidP="00156795">
      <w:pPr>
        <w:spacing w:after="0" w:line="360" w:lineRule="auto"/>
        <w:contextualSpacing/>
        <w:jc w:val="both"/>
        <w:rPr>
          <w:rFonts w:cs="Times New Roman"/>
          <w:szCs w:val="24"/>
        </w:rPr>
      </w:pPr>
      <w:r w:rsidRPr="00566B42">
        <w:rPr>
          <w:rFonts w:cs="Times New Roman"/>
          <w:szCs w:val="24"/>
        </w:rPr>
        <w:t>How biotech can be used to develop new products, methods and organisms for human, animal and plant health for preparing and responding to pandemics</w:t>
      </w:r>
    </w:p>
    <w:p w14:paraId="4BC8EEAE" w14:textId="77777777" w:rsidR="00156795" w:rsidRPr="00566B42" w:rsidRDefault="00156795" w:rsidP="00156795">
      <w:pPr>
        <w:spacing w:after="0" w:line="360" w:lineRule="auto"/>
        <w:contextualSpacing/>
        <w:jc w:val="both"/>
        <w:rPr>
          <w:rFonts w:cs="Times New Roman"/>
          <w:szCs w:val="24"/>
        </w:rPr>
      </w:pPr>
      <w:r w:rsidRPr="00566B42">
        <w:rPr>
          <w:rFonts w:cs="Times New Roman"/>
          <w:szCs w:val="24"/>
        </w:rPr>
        <w:t>Measures to prevent the introduction of pathogens and reduce their spread to humans, animals, plants and the environment in order to prepare and respond to pandemics</w:t>
      </w:r>
    </w:p>
    <w:p w14:paraId="76796A8A" w14:textId="77777777" w:rsidR="00156795" w:rsidRPr="00566B42" w:rsidRDefault="00156795" w:rsidP="00156795">
      <w:pPr>
        <w:spacing w:after="0" w:line="360" w:lineRule="auto"/>
        <w:contextualSpacing/>
        <w:jc w:val="both"/>
        <w:rPr>
          <w:rFonts w:cs="Times New Roman"/>
          <w:szCs w:val="24"/>
        </w:rPr>
      </w:pPr>
      <w:r w:rsidRPr="00566B42">
        <w:rPr>
          <w:rFonts w:cs="Times New Roman"/>
          <w:szCs w:val="24"/>
        </w:rPr>
        <w:t>Protection of the community, workers and the environment from accidental exposure or unintentional release of infectious agents, toxins and other biological hazards.</w:t>
      </w:r>
    </w:p>
    <w:p w14:paraId="2AF92E77" w14:textId="77777777" w:rsidR="00156795" w:rsidRPr="000A0C63" w:rsidRDefault="00156795" w:rsidP="00156795">
      <w:pPr>
        <w:spacing w:after="0" w:line="360" w:lineRule="auto"/>
        <w:jc w:val="both"/>
        <w:rPr>
          <w:rFonts w:cs="Times New Roman"/>
          <w:b/>
          <w:sz w:val="8"/>
          <w:szCs w:val="24"/>
        </w:rPr>
      </w:pPr>
    </w:p>
    <w:p w14:paraId="3478484C" w14:textId="77777777" w:rsidR="00156795" w:rsidRPr="00E63992" w:rsidRDefault="00156795" w:rsidP="00156795">
      <w:pPr>
        <w:spacing w:after="0" w:line="360" w:lineRule="auto"/>
        <w:jc w:val="both"/>
        <w:rPr>
          <w:rFonts w:cs="Times New Roman"/>
          <w:b/>
          <w:szCs w:val="24"/>
        </w:rPr>
      </w:pPr>
      <w:r w:rsidRPr="00E63992">
        <w:rPr>
          <w:rFonts w:cs="Times New Roman"/>
          <w:b/>
          <w:szCs w:val="24"/>
        </w:rPr>
        <w:t>Mode of Delivery</w:t>
      </w:r>
    </w:p>
    <w:p w14:paraId="057A66E0" w14:textId="77777777" w:rsidR="00156795" w:rsidRPr="00334EB6" w:rsidRDefault="00156795" w:rsidP="00156795">
      <w:pPr>
        <w:spacing w:after="0" w:line="360" w:lineRule="auto"/>
        <w:jc w:val="both"/>
        <w:rPr>
          <w:rFonts w:cs="Times New Roman"/>
          <w:szCs w:val="24"/>
        </w:rPr>
      </w:pPr>
      <w:r w:rsidRPr="00334EB6">
        <w:rPr>
          <w:rFonts w:cs="Times New Roman"/>
          <w:szCs w:val="24"/>
        </w:rPr>
        <w:t>This includes lectures: problem-based learning using interactive tutorials, small group discussions and written assignments, plenary presentations; case studies, experiential learning through independent/reflective study and field visits and placements; and online peer discussions using video clips and conferencing, case study and case series, table top exercises, field work</w:t>
      </w:r>
    </w:p>
    <w:p w14:paraId="43C95BFE" w14:textId="77777777" w:rsidR="00156795" w:rsidRPr="000A0C63" w:rsidRDefault="00156795" w:rsidP="00156795">
      <w:pPr>
        <w:spacing w:after="0" w:line="360" w:lineRule="auto"/>
        <w:jc w:val="both"/>
        <w:rPr>
          <w:rFonts w:cs="Times New Roman"/>
          <w:b/>
          <w:sz w:val="8"/>
          <w:szCs w:val="24"/>
        </w:rPr>
      </w:pPr>
    </w:p>
    <w:p w14:paraId="1EDAF717" w14:textId="77777777" w:rsidR="00156795" w:rsidRPr="00E63992" w:rsidRDefault="00156795" w:rsidP="00156795">
      <w:pPr>
        <w:spacing w:after="0" w:line="360" w:lineRule="auto"/>
        <w:jc w:val="both"/>
        <w:rPr>
          <w:rFonts w:cs="Times New Roman"/>
          <w:b/>
          <w:szCs w:val="24"/>
        </w:rPr>
      </w:pPr>
      <w:r w:rsidRPr="00E63992">
        <w:rPr>
          <w:rFonts w:cs="Times New Roman"/>
          <w:b/>
          <w:szCs w:val="24"/>
        </w:rPr>
        <w:t>Instructional Materials and/or Equipment</w:t>
      </w:r>
    </w:p>
    <w:p w14:paraId="514602B3" w14:textId="77777777" w:rsidR="00156795" w:rsidRPr="00334EB6" w:rsidRDefault="00156795" w:rsidP="00156795">
      <w:pPr>
        <w:spacing w:after="0" w:line="360" w:lineRule="auto"/>
        <w:jc w:val="both"/>
        <w:rPr>
          <w:rFonts w:cs="Times New Roman"/>
        </w:rPr>
      </w:pPr>
      <w:r w:rsidRPr="14021084">
        <w:rPr>
          <w:rFonts w:cs="Times New Roman"/>
        </w:rPr>
        <w:t xml:space="preserve">Materials: Lecture notes and slides, video clips, handouts, case studies, reference materials (textbooks, journals, policy document-guidelines), institutional placements and field visits </w:t>
      </w:r>
    </w:p>
    <w:p w14:paraId="05E26299" w14:textId="77777777" w:rsidR="00156795" w:rsidRPr="00334EB6" w:rsidRDefault="00156795" w:rsidP="00156795">
      <w:pPr>
        <w:spacing w:after="0" w:line="360" w:lineRule="auto"/>
        <w:jc w:val="both"/>
        <w:rPr>
          <w:rFonts w:cs="Times New Roman"/>
        </w:rPr>
      </w:pPr>
      <w:r w:rsidRPr="14021084">
        <w:rPr>
          <w:rFonts w:cs="Times New Roman"/>
        </w:rPr>
        <w:t xml:space="preserve">Equipment: LCD projectors, laptops, white board, markers and flipcharts, LCD, printers, </w:t>
      </w:r>
      <w:r>
        <w:rPr>
          <w:rFonts w:cs="Times New Roman"/>
        </w:rPr>
        <w:t>i</w:t>
      </w:r>
      <w:r w:rsidRPr="14021084">
        <w:rPr>
          <w:rFonts w:cs="Times New Roman"/>
        </w:rPr>
        <w:t xml:space="preserve">nternet access for e-resources, PDAs, mobile phones. We shall also engage international experts in the </w:t>
      </w:r>
      <w:r w:rsidRPr="14021084">
        <w:rPr>
          <w:rFonts w:cs="Times New Roman"/>
        </w:rPr>
        <w:lastRenderedPageBreak/>
        <w:t>fields of synthetic biology, biosafety and biosecurity, bioterrorism, UN Security Council Resolution 1540 and the Biological Weapons Convention.</w:t>
      </w:r>
    </w:p>
    <w:p w14:paraId="58ED4BB1" w14:textId="77777777" w:rsidR="00156795" w:rsidRPr="00334EB6" w:rsidRDefault="00156795" w:rsidP="00156795">
      <w:pPr>
        <w:spacing w:before="240" w:after="0" w:line="360" w:lineRule="auto"/>
        <w:jc w:val="both"/>
        <w:rPr>
          <w:rFonts w:cs="Times New Roman"/>
          <w:szCs w:val="24"/>
        </w:rPr>
      </w:pPr>
      <w:r w:rsidRPr="00334EB6">
        <w:rPr>
          <w:rFonts w:cs="Times New Roman"/>
          <w:szCs w:val="24"/>
        </w:rPr>
        <w:t xml:space="preserve">The assessment will be pre and post-test, group assignments, participation in the discussion forum and individual assignments. </w:t>
      </w:r>
    </w:p>
    <w:p w14:paraId="227DA36A" w14:textId="77777777" w:rsidR="00156795" w:rsidRDefault="00156795" w:rsidP="00156795">
      <w:pPr>
        <w:spacing w:after="0" w:line="360" w:lineRule="auto"/>
        <w:jc w:val="both"/>
        <w:rPr>
          <w:rFonts w:cs="Times New Roman"/>
          <w:b/>
          <w:szCs w:val="24"/>
        </w:rPr>
      </w:pPr>
    </w:p>
    <w:p w14:paraId="48F2D261" w14:textId="77777777" w:rsidR="00156795" w:rsidRPr="00E63992" w:rsidRDefault="00156795" w:rsidP="00156795">
      <w:pPr>
        <w:spacing w:after="0" w:line="360" w:lineRule="auto"/>
        <w:jc w:val="both"/>
        <w:rPr>
          <w:rFonts w:cs="Times New Roman"/>
          <w:b/>
          <w:szCs w:val="24"/>
        </w:rPr>
      </w:pPr>
      <w:r w:rsidRPr="00E63992">
        <w:rPr>
          <w:rFonts w:cs="Times New Roman"/>
          <w:b/>
          <w:szCs w:val="24"/>
        </w:rPr>
        <w:t xml:space="preserve">Core </w:t>
      </w:r>
      <w:r>
        <w:rPr>
          <w:rFonts w:cs="Times New Roman"/>
          <w:b/>
          <w:szCs w:val="24"/>
        </w:rPr>
        <w:t>R</w:t>
      </w:r>
      <w:r w:rsidRPr="00E63992">
        <w:rPr>
          <w:rFonts w:cs="Times New Roman"/>
          <w:b/>
          <w:szCs w:val="24"/>
        </w:rPr>
        <w:t xml:space="preserve">eferences </w:t>
      </w:r>
      <w:r>
        <w:rPr>
          <w:rFonts w:cs="Times New Roman"/>
          <w:b/>
          <w:szCs w:val="24"/>
        </w:rPr>
        <w:t>M</w:t>
      </w:r>
      <w:r w:rsidRPr="00E63992">
        <w:rPr>
          <w:rFonts w:cs="Times New Roman"/>
          <w:b/>
          <w:szCs w:val="24"/>
        </w:rPr>
        <w:t xml:space="preserve">aterials </w:t>
      </w:r>
    </w:p>
    <w:p w14:paraId="267DA7E9" w14:textId="77777777" w:rsidR="00156795" w:rsidRPr="007A449E" w:rsidRDefault="00156795" w:rsidP="00156795">
      <w:pPr>
        <w:numPr>
          <w:ilvl w:val="0"/>
          <w:numId w:val="1"/>
        </w:numPr>
        <w:tabs>
          <w:tab w:val="left" w:pos="360"/>
          <w:tab w:val="left" w:pos="720"/>
        </w:tabs>
        <w:spacing w:after="0" w:line="300" w:lineRule="auto"/>
        <w:jc w:val="both"/>
        <w:rPr>
          <w:rFonts w:cs="Times New Roman"/>
          <w:szCs w:val="24"/>
        </w:rPr>
      </w:pPr>
      <w:r w:rsidRPr="007A449E">
        <w:rPr>
          <w:rFonts w:cs="Times New Roman"/>
          <w:color w:val="333333"/>
          <w:szCs w:val="24"/>
          <w:shd w:val="clear" w:color="auto" w:fill="FFFFFF"/>
        </w:rPr>
        <w:t>World Health Organization. (‎2006) ‎. </w:t>
      </w:r>
      <w:proofErr w:type="spellStart"/>
      <w:r w:rsidRPr="007A449E">
        <w:rPr>
          <w:rFonts w:cs="Times New Roman"/>
          <w:color w:val="333333"/>
          <w:szCs w:val="24"/>
          <w:shd w:val="clear" w:color="auto" w:fill="FFFFFF"/>
        </w:rPr>
        <w:t>Biorisk</w:t>
      </w:r>
      <w:proofErr w:type="spellEnd"/>
      <w:r w:rsidRPr="007A449E">
        <w:rPr>
          <w:rFonts w:cs="Times New Roman"/>
          <w:color w:val="333333"/>
          <w:szCs w:val="24"/>
          <w:shd w:val="clear" w:color="auto" w:fill="FFFFFF"/>
        </w:rPr>
        <w:t xml:space="preserve"> management: laboratory biosecurity guidance. World Health Organization. </w:t>
      </w:r>
      <w:hyperlink r:id="rId5" w:history="1">
        <w:r w:rsidRPr="007A449E">
          <w:rPr>
            <w:rStyle w:val="Hyperlink"/>
            <w:rFonts w:cs="Times New Roman"/>
            <w:color w:val="008DC9"/>
            <w:szCs w:val="24"/>
          </w:rPr>
          <w:t>https://apps.who.int/iris/handle/10665/69390</w:t>
        </w:r>
      </w:hyperlink>
    </w:p>
    <w:p w14:paraId="3D9F52DD" w14:textId="77777777" w:rsidR="00156795" w:rsidRPr="007A449E" w:rsidRDefault="00156795" w:rsidP="00156795">
      <w:pPr>
        <w:numPr>
          <w:ilvl w:val="0"/>
          <w:numId w:val="1"/>
        </w:numPr>
        <w:tabs>
          <w:tab w:val="left" w:pos="720"/>
        </w:tabs>
        <w:spacing w:after="0" w:line="300" w:lineRule="auto"/>
        <w:jc w:val="both"/>
        <w:rPr>
          <w:rFonts w:cs="Times New Roman"/>
          <w:szCs w:val="24"/>
          <w:lang w:val="de-DE"/>
        </w:rPr>
      </w:pPr>
      <w:r w:rsidRPr="007A449E">
        <w:rPr>
          <w:rFonts w:cs="Times New Roman"/>
          <w:color w:val="333333"/>
          <w:szCs w:val="24"/>
          <w:shd w:val="clear" w:color="auto" w:fill="FFFFFF"/>
        </w:rPr>
        <w:t>World Health Organization. (‎2004) ‎. Laboratory biosafety manual, 3rd ed. World Health Organization. </w:t>
      </w:r>
      <w:hyperlink r:id="rId6" w:history="1">
        <w:r w:rsidRPr="007A449E">
          <w:rPr>
            <w:rStyle w:val="Hyperlink"/>
            <w:rFonts w:cs="Times New Roman"/>
            <w:color w:val="D86422"/>
            <w:szCs w:val="24"/>
          </w:rPr>
          <w:t>https://apps.who.int/iris/handle/10665/42981</w:t>
        </w:r>
      </w:hyperlink>
    </w:p>
    <w:p w14:paraId="243AAB20" w14:textId="77777777" w:rsidR="00156795" w:rsidRPr="007A449E" w:rsidRDefault="00156795" w:rsidP="00156795">
      <w:pPr>
        <w:numPr>
          <w:ilvl w:val="0"/>
          <w:numId w:val="1"/>
        </w:numPr>
        <w:tabs>
          <w:tab w:val="left" w:pos="360"/>
          <w:tab w:val="left" w:pos="720"/>
        </w:tabs>
        <w:spacing w:after="0" w:line="300" w:lineRule="auto"/>
        <w:jc w:val="both"/>
        <w:rPr>
          <w:rFonts w:cs="Times New Roman"/>
          <w:szCs w:val="24"/>
        </w:rPr>
      </w:pPr>
      <w:r w:rsidRPr="007A449E">
        <w:rPr>
          <w:rFonts w:cs="Times New Roman"/>
          <w:color w:val="333333"/>
          <w:szCs w:val="24"/>
          <w:shd w:val="clear" w:color="auto" w:fill="FFFFFF"/>
        </w:rPr>
        <w:t>World Health Organization. (‎2020) ‎. Laboratory biosafety manual, 4th ed. World Health Organization. </w:t>
      </w:r>
      <w:hyperlink r:id="rId7" w:history="1">
        <w:r w:rsidRPr="007A449E">
          <w:rPr>
            <w:rStyle w:val="Hyperlink"/>
            <w:rFonts w:cs="Times New Roman"/>
            <w:szCs w:val="24"/>
          </w:rPr>
          <w:t>https://www.who.int/publications/i/item/9789240011311</w:t>
        </w:r>
      </w:hyperlink>
    </w:p>
    <w:p w14:paraId="79C39EFF" w14:textId="77777777" w:rsidR="00156795" w:rsidRPr="007A449E" w:rsidRDefault="00156795" w:rsidP="00156795">
      <w:pPr>
        <w:numPr>
          <w:ilvl w:val="0"/>
          <w:numId w:val="1"/>
        </w:numPr>
        <w:tabs>
          <w:tab w:val="left" w:pos="360"/>
          <w:tab w:val="left" w:pos="720"/>
        </w:tabs>
        <w:spacing w:after="0" w:line="300" w:lineRule="auto"/>
        <w:jc w:val="both"/>
        <w:rPr>
          <w:rFonts w:cs="Times New Roman"/>
          <w:szCs w:val="24"/>
        </w:rPr>
      </w:pPr>
      <w:r w:rsidRPr="007A449E">
        <w:rPr>
          <w:rFonts w:cs="Times New Roman"/>
          <w:szCs w:val="24"/>
        </w:rPr>
        <w:t>International Organization for Standardization of Medical Service. (2019).</w:t>
      </w:r>
      <w:hyperlink r:id="rId8" w:history="1">
        <w:r w:rsidRPr="007A449E">
          <w:rPr>
            <w:rFonts w:cs="Times New Roman"/>
            <w:color w:val="0000FF"/>
            <w:szCs w:val="24"/>
            <w:u w:val="single"/>
          </w:rPr>
          <w:t>https://www.iso.org/files/live/sites/isoorg/files/store/en/PUB100343.pdf</w:t>
        </w:r>
      </w:hyperlink>
    </w:p>
    <w:p w14:paraId="60B79B90" w14:textId="77777777" w:rsidR="00156795" w:rsidRPr="007A449E" w:rsidRDefault="00156795" w:rsidP="00156795">
      <w:pPr>
        <w:numPr>
          <w:ilvl w:val="0"/>
          <w:numId w:val="1"/>
        </w:numPr>
        <w:tabs>
          <w:tab w:val="left" w:pos="360"/>
          <w:tab w:val="left" w:pos="720"/>
        </w:tabs>
        <w:spacing w:after="0" w:line="300" w:lineRule="auto"/>
        <w:jc w:val="both"/>
        <w:rPr>
          <w:rFonts w:cs="Times New Roman"/>
          <w:szCs w:val="24"/>
        </w:rPr>
      </w:pPr>
      <w:r w:rsidRPr="007A449E">
        <w:rPr>
          <w:rFonts w:cs="Times New Roman"/>
          <w:szCs w:val="24"/>
        </w:rPr>
        <w:t xml:space="preserve">Ministry of Public Health and Sanitation. </w:t>
      </w:r>
      <w:r w:rsidRPr="007A449E">
        <w:rPr>
          <w:rFonts w:cs="Times New Roman"/>
          <w:i/>
          <w:szCs w:val="24"/>
        </w:rPr>
        <w:t>Laboratory Biosafety and Biosecurity Policy Guidelines</w:t>
      </w:r>
      <w:r w:rsidRPr="007A449E">
        <w:rPr>
          <w:rFonts w:cs="Times New Roman"/>
          <w:szCs w:val="24"/>
        </w:rPr>
        <w:t>.</w:t>
      </w:r>
      <w:hyperlink r:id="rId9" w:history="1">
        <w:r w:rsidRPr="007A449E">
          <w:rPr>
            <w:rFonts w:cs="Times New Roman"/>
            <w:color w:val="0000FF"/>
            <w:szCs w:val="24"/>
            <w:u w:val="single"/>
          </w:rPr>
          <w:t>https://internationalbiosafety.org/wp-content/uploads/2019/08/Kenya-Biosafety-Guidelines.pdf</w:t>
        </w:r>
      </w:hyperlink>
    </w:p>
    <w:p w14:paraId="7ED7D81F" w14:textId="77777777" w:rsidR="00156795" w:rsidRPr="007A449E" w:rsidRDefault="00156795" w:rsidP="00156795">
      <w:pPr>
        <w:tabs>
          <w:tab w:val="left" w:pos="720"/>
        </w:tabs>
        <w:spacing w:after="0" w:line="360" w:lineRule="auto"/>
        <w:ind w:left="720"/>
        <w:jc w:val="both"/>
        <w:rPr>
          <w:rFonts w:cs="Times New Roman"/>
          <w:color w:val="0000FF"/>
          <w:szCs w:val="24"/>
          <w:u w:val="single"/>
        </w:rPr>
      </w:pPr>
    </w:p>
    <w:p w14:paraId="398B2449" w14:textId="77777777" w:rsidR="00156795" w:rsidRDefault="00156795" w:rsidP="00156795">
      <w:pPr>
        <w:tabs>
          <w:tab w:val="left" w:pos="360"/>
          <w:tab w:val="left" w:pos="720"/>
        </w:tabs>
        <w:spacing w:after="0" w:line="360" w:lineRule="auto"/>
        <w:ind w:left="360" w:hanging="450"/>
        <w:jc w:val="both"/>
        <w:rPr>
          <w:rFonts w:cs="Times New Roman"/>
          <w:b/>
          <w:szCs w:val="24"/>
          <w:lang w:val="de-DE"/>
        </w:rPr>
      </w:pPr>
      <w:r w:rsidRPr="007A449E">
        <w:rPr>
          <w:rFonts w:cs="Times New Roman"/>
          <w:b/>
          <w:szCs w:val="24"/>
          <w:lang w:val="de-DE"/>
        </w:rPr>
        <w:t xml:space="preserve">Recommended </w:t>
      </w:r>
      <w:r>
        <w:rPr>
          <w:rFonts w:cs="Times New Roman"/>
          <w:b/>
          <w:szCs w:val="24"/>
          <w:lang w:val="de-DE"/>
        </w:rPr>
        <w:t>Reference Materials</w:t>
      </w:r>
      <w:r w:rsidRPr="007A449E">
        <w:rPr>
          <w:rFonts w:cs="Times New Roman"/>
          <w:b/>
          <w:szCs w:val="24"/>
          <w:lang w:val="de-DE"/>
        </w:rPr>
        <w:t xml:space="preserve"> </w:t>
      </w:r>
    </w:p>
    <w:p w14:paraId="29FBC449" w14:textId="77777777" w:rsidR="00156795" w:rsidRDefault="00156795" w:rsidP="00156795">
      <w:pPr>
        <w:numPr>
          <w:ilvl w:val="0"/>
          <w:numId w:val="2"/>
        </w:numPr>
        <w:tabs>
          <w:tab w:val="left" w:pos="720"/>
        </w:tabs>
        <w:spacing w:after="0" w:line="300" w:lineRule="auto"/>
        <w:jc w:val="both"/>
        <w:rPr>
          <w:rFonts w:cs="Times New Roman"/>
          <w:szCs w:val="24"/>
        </w:rPr>
      </w:pPr>
      <w:proofErr w:type="spellStart"/>
      <w:r w:rsidRPr="00022605">
        <w:rPr>
          <w:rFonts w:cs="Times New Roman"/>
          <w:color w:val="222222"/>
          <w:szCs w:val="24"/>
          <w:shd w:val="clear" w:color="auto" w:fill="FFFFFF"/>
        </w:rPr>
        <w:t>Astuto</w:t>
      </w:r>
      <w:proofErr w:type="spellEnd"/>
      <w:r w:rsidRPr="00022605">
        <w:rPr>
          <w:rFonts w:cs="Times New Roman"/>
          <w:color w:val="222222"/>
          <w:szCs w:val="24"/>
          <w:shd w:val="clear" w:color="auto" w:fill="FFFFFF"/>
        </w:rPr>
        <w:t>-Gribble, L. M., &amp; Caskey, S. A. (2014). </w:t>
      </w:r>
      <w:r w:rsidRPr="00022605">
        <w:rPr>
          <w:rFonts w:cs="Times New Roman"/>
          <w:i/>
          <w:iCs/>
          <w:color w:val="222222"/>
          <w:szCs w:val="24"/>
          <w:shd w:val="clear" w:color="auto" w:fill="FFFFFF"/>
        </w:rPr>
        <w:t>Laboratory Biosafety and Biosecurity Risk Assessment Technical Guidance Document</w:t>
      </w:r>
      <w:r w:rsidRPr="00022605">
        <w:rPr>
          <w:rFonts w:cs="Times New Roman"/>
          <w:color w:val="222222"/>
          <w:szCs w:val="24"/>
          <w:shd w:val="clear" w:color="auto" w:fill="FFFFFF"/>
        </w:rPr>
        <w:t> (No. SAND2014-15939R). Sandia National Lab.(SNL-NM), Albuquerque, NM (United States).</w:t>
      </w:r>
    </w:p>
    <w:p w14:paraId="3AA5EE1A" w14:textId="77777777" w:rsidR="00156795" w:rsidRDefault="00156795" w:rsidP="00156795">
      <w:pPr>
        <w:numPr>
          <w:ilvl w:val="0"/>
          <w:numId w:val="2"/>
        </w:numPr>
        <w:tabs>
          <w:tab w:val="left" w:pos="720"/>
        </w:tabs>
        <w:spacing w:after="0" w:line="300" w:lineRule="auto"/>
        <w:jc w:val="both"/>
        <w:rPr>
          <w:rFonts w:cs="Times New Roman"/>
          <w:szCs w:val="24"/>
        </w:rPr>
      </w:pPr>
      <w:r w:rsidRPr="00022605">
        <w:rPr>
          <w:rFonts w:cs="Times New Roman"/>
          <w:color w:val="040C28"/>
        </w:rPr>
        <w:t>Centers for Disease Control and Prevention</w:t>
      </w:r>
      <w:r w:rsidRPr="00022605">
        <w:rPr>
          <w:rFonts w:cs="Times New Roman"/>
          <w:color w:val="4D5156"/>
          <w:shd w:val="clear" w:color="auto" w:fill="FFFFFF"/>
        </w:rPr>
        <w:t>.</w:t>
      </w:r>
      <w:r w:rsidRPr="00022605">
        <w:rPr>
          <w:rFonts w:cs="Times New Roman"/>
          <w:szCs w:val="24"/>
        </w:rPr>
        <w:t xml:space="preserve"> and the association of Public Health Laboratories (2011) </w:t>
      </w:r>
      <w:r w:rsidRPr="00022605">
        <w:rPr>
          <w:rFonts w:cs="Times New Roman"/>
          <w:i/>
          <w:szCs w:val="24"/>
        </w:rPr>
        <w:t xml:space="preserve">Guidelines for Biosafety Laboratory </w:t>
      </w:r>
      <w:proofErr w:type="spellStart"/>
      <w:r w:rsidRPr="00022605">
        <w:rPr>
          <w:rFonts w:cs="Times New Roman"/>
          <w:i/>
          <w:szCs w:val="24"/>
        </w:rPr>
        <w:t>Competency.</w:t>
      </w:r>
      <w:hyperlink r:id="rId10" w:history="1">
        <w:r w:rsidRPr="00022605">
          <w:rPr>
            <w:rStyle w:val="Hyperlink"/>
            <w:rFonts w:cs="Times New Roman"/>
            <w:szCs w:val="24"/>
          </w:rPr>
          <w:t>https</w:t>
        </w:r>
        <w:proofErr w:type="spellEnd"/>
        <w:r w:rsidRPr="00022605">
          <w:rPr>
            <w:rStyle w:val="Hyperlink"/>
            <w:rFonts w:cs="Times New Roman"/>
            <w:szCs w:val="24"/>
          </w:rPr>
          <w:t>://www.cdc.gov/mmwr/pdf/other/su6002.pdf</w:t>
        </w:r>
      </w:hyperlink>
    </w:p>
    <w:p w14:paraId="0AAC1D29" w14:textId="77777777" w:rsidR="00156795" w:rsidRPr="00022605" w:rsidRDefault="00156795" w:rsidP="00156795">
      <w:pPr>
        <w:numPr>
          <w:ilvl w:val="0"/>
          <w:numId w:val="2"/>
        </w:numPr>
        <w:tabs>
          <w:tab w:val="left" w:pos="720"/>
        </w:tabs>
        <w:spacing w:after="0" w:line="300" w:lineRule="auto"/>
        <w:jc w:val="both"/>
        <w:rPr>
          <w:rFonts w:cs="Times New Roman"/>
          <w:szCs w:val="24"/>
        </w:rPr>
      </w:pPr>
      <w:r w:rsidRPr="00022605">
        <w:rPr>
          <w:shd w:val="clear" w:color="auto" w:fill="FFFFFF"/>
        </w:rPr>
        <w:t>Association of Public Health Laboratories. (2017). Enhancing biosafety and biosecurity in the nation’s public health laboratories: a report of the APHL 2016 Biosafety and Biosecurity Survey.</w:t>
      </w:r>
      <w:r>
        <w:t xml:space="preserve">  </w:t>
      </w:r>
    </w:p>
    <w:p w14:paraId="0E7A4123" w14:textId="77777777" w:rsidR="004B2B29" w:rsidRDefault="004B2B29"/>
    <w:sectPr w:rsidR="004B2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9"/>
    <w:multiLevelType w:val="multilevel"/>
    <w:tmpl w:val="FFFFFFFF"/>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 w15:restartNumberingAfterBreak="0">
    <w:nsid w:val="177C181D"/>
    <w:multiLevelType w:val="multilevel"/>
    <w:tmpl w:val="FFFFFFFF"/>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795"/>
    <w:rsid w:val="00156795"/>
    <w:rsid w:val="004B2B29"/>
    <w:rsid w:val="00C55B5E"/>
    <w:rsid w:val="00DA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4C142"/>
  <w15:chartTrackingRefBased/>
  <w15:docId w15:val="{727BF502-2A2D-47E6-93E9-C641A0848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6795"/>
    <w:pPr>
      <w:spacing w:after="200" w:line="276" w:lineRule="auto"/>
    </w:pPr>
    <w:rPr>
      <w:rFonts w:ascii="Times New Roman" w:eastAsia="Calibri" w:hAnsi="Times New Roman" w:cs="Tunga"/>
      <w:sz w:val="24"/>
    </w:rPr>
  </w:style>
  <w:style w:type="paragraph" w:styleId="Heading1">
    <w:name w:val="heading 1"/>
    <w:basedOn w:val="Normal"/>
    <w:next w:val="Normal"/>
    <w:link w:val="Heading1Char"/>
    <w:uiPriority w:val="9"/>
    <w:qFormat/>
    <w:rsid w:val="00DA3EC6"/>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qFormat/>
    <w:rsid w:val="00C55B5E"/>
    <w:pPr>
      <w:keepNext/>
      <w:keepLines/>
      <w:spacing w:before="40" w:after="0" w:line="240" w:lineRule="auto"/>
      <w:outlineLvl w:val="1"/>
    </w:pPr>
    <w:rPr>
      <w:b/>
      <w:color w:val="000000" w:themeColor="text1"/>
      <w:sz w:val="26"/>
      <w:szCs w:val="26"/>
    </w:rPr>
  </w:style>
  <w:style w:type="paragraph" w:styleId="Heading4">
    <w:name w:val="heading 4"/>
    <w:basedOn w:val="Normal"/>
    <w:next w:val="Normal"/>
    <w:link w:val="Heading4Char"/>
    <w:uiPriority w:val="9"/>
    <w:semiHidden/>
    <w:unhideWhenUsed/>
    <w:qFormat/>
    <w:rsid w:val="00DA3EC6"/>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link w:val="Style2Char"/>
    <w:autoRedefine/>
    <w:qFormat/>
    <w:rsid w:val="00DA3EC6"/>
  </w:style>
  <w:style w:type="character" w:customStyle="1" w:styleId="Style2Char">
    <w:name w:val="Style2 Char"/>
    <w:basedOn w:val="Heading1Char"/>
    <w:link w:val="Style2"/>
    <w:rsid w:val="00DA3EC6"/>
    <w:rPr>
      <w:rFonts w:asciiTheme="majorHAnsi" w:eastAsiaTheme="majorEastAsia" w:hAnsiTheme="majorHAnsi" w:cstheme="majorBidi"/>
      <w:color w:val="000000" w:themeColor="text1"/>
      <w:sz w:val="32"/>
      <w:szCs w:val="32"/>
    </w:rPr>
  </w:style>
  <w:style w:type="character" w:customStyle="1" w:styleId="Heading1Char">
    <w:name w:val="Heading 1 Char"/>
    <w:basedOn w:val="DefaultParagraphFont"/>
    <w:link w:val="Heading1"/>
    <w:uiPriority w:val="9"/>
    <w:rsid w:val="00DA3EC6"/>
    <w:rPr>
      <w:rFonts w:asciiTheme="majorHAnsi" w:eastAsiaTheme="majorEastAsia" w:hAnsiTheme="majorHAnsi" w:cstheme="majorBidi"/>
      <w:color w:val="000000" w:themeColor="text1"/>
      <w:sz w:val="32"/>
      <w:szCs w:val="32"/>
    </w:rPr>
  </w:style>
  <w:style w:type="paragraph" w:customStyle="1" w:styleId="Style3">
    <w:name w:val="Style3"/>
    <w:basedOn w:val="Heading1"/>
    <w:link w:val="Style3Char"/>
    <w:qFormat/>
    <w:rsid w:val="00DA3EC6"/>
  </w:style>
  <w:style w:type="character" w:customStyle="1" w:styleId="Style3Char">
    <w:name w:val="Style3 Char"/>
    <w:basedOn w:val="Heading1Char"/>
    <w:link w:val="Style3"/>
    <w:rsid w:val="00DA3EC6"/>
    <w:rPr>
      <w:rFonts w:asciiTheme="majorHAnsi" w:eastAsiaTheme="majorEastAsia" w:hAnsiTheme="majorHAnsi" w:cstheme="majorBidi"/>
      <w:color w:val="000000" w:themeColor="text1"/>
      <w:sz w:val="32"/>
      <w:szCs w:val="32"/>
    </w:rPr>
  </w:style>
  <w:style w:type="character" w:customStyle="1" w:styleId="Heading4Char">
    <w:name w:val="Heading 4 Char"/>
    <w:basedOn w:val="DefaultParagraphFont"/>
    <w:link w:val="Heading4"/>
    <w:uiPriority w:val="9"/>
    <w:semiHidden/>
    <w:rsid w:val="00DA3EC6"/>
    <w:rPr>
      <w:rFonts w:asciiTheme="majorHAnsi" w:eastAsiaTheme="majorEastAsia" w:hAnsiTheme="majorHAnsi" w:cstheme="majorBidi"/>
      <w:i/>
      <w:iCs/>
      <w:color w:val="000000" w:themeColor="text1"/>
    </w:rPr>
  </w:style>
  <w:style w:type="character" w:customStyle="1" w:styleId="Heading2Char">
    <w:name w:val="Heading 2 Char"/>
    <w:link w:val="Heading2"/>
    <w:uiPriority w:val="9"/>
    <w:rsid w:val="00C55B5E"/>
    <w:rPr>
      <w:rFonts w:ascii="Times New Roman" w:hAnsi="Times New Roman"/>
      <w:b/>
      <w:color w:val="000000" w:themeColor="text1"/>
      <w:sz w:val="26"/>
      <w:szCs w:val="26"/>
    </w:rPr>
  </w:style>
  <w:style w:type="character" w:styleId="Hyperlink">
    <w:name w:val="Hyperlink"/>
    <w:uiPriority w:val="99"/>
    <w:unhideWhenUsed/>
    <w:rsid w:val="001567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files/live/sites/isoorg/files/store/en/PUB100343.pdf" TargetMode="External"/><Relationship Id="rId3" Type="http://schemas.openxmlformats.org/officeDocument/2006/relationships/settings" Target="settings.xml"/><Relationship Id="rId7" Type="http://schemas.openxmlformats.org/officeDocument/2006/relationships/hyperlink" Target="https://www.who.int/publications/i/item/97892400113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who.int/iris/handle/10665/42981" TargetMode="External"/><Relationship Id="rId11" Type="http://schemas.openxmlformats.org/officeDocument/2006/relationships/fontTable" Target="fontTable.xml"/><Relationship Id="rId5" Type="http://schemas.openxmlformats.org/officeDocument/2006/relationships/hyperlink" Target="https://apps.who.int/iris/handle/10665/69390" TargetMode="External"/><Relationship Id="rId10" Type="http://schemas.openxmlformats.org/officeDocument/2006/relationships/hyperlink" Target="https://www.cdc.gov/mmwr/pdf/other/su6002.pdf" TargetMode="External"/><Relationship Id="rId4" Type="http://schemas.openxmlformats.org/officeDocument/2006/relationships/webSettings" Target="webSettings.xml"/><Relationship Id="rId9" Type="http://schemas.openxmlformats.org/officeDocument/2006/relationships/hyperlink" Target="https://internationalbiosafety.org/wp-content/uploads/2019/08/Kenya-Biosafety-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481</Words>
  <Characters>3627</Characters>
  <Application>Microsoft Office Word</Application>
  <DocSecurity>0</DocSecurity>
  <Lines>60</Lines>
  <Paragraphs>23</Paragraphs>
  <ScaleCrop>false</ScaleCrop>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Salvias</dc:creator>
  <cp:keywords/>
  <dc:description/>
  <cp:lastModifiedBy>Salvias</cp:lastModifiedBy>
  <cp:revision>1</cp:revision>
  <dcterms:created xsi:type="dcterms:W3CDTF">2024-04-16T10:07:00Z</dcterms:created>
  <dcterms:modified xsi:type="dcterms:W3CDTF">2024-04-16T10:09:00Z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1fa5fe00-b40f-4112-a696-61c8be9b73d5</vt:lpwstr>
  </property>
</Properties>
</file>