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CCE34" w14:textId="77777777" w:rsidR="000D3EF5" w:rsidRPr="009E14BC" w:rsidRDefault="000D3EF5" w:rsidP="000D3EF5">
      <w:pPr>
        <w:pStyle w:val="Heading2"/>
      </w:pPr>
      <w:bookmarkStart w:id="0" w:name="_Toc134044877"/>
      <w:r w:rsidRPr="009E14BC">
        <w:t>POH 116:</w:t>
      </w:r>
      <w:r>
        <w:t xml:space="preserve"> </w:t>
      </w:r>
      <w:r w:rsidRPr="009E14BC">
        <w:t>WATER, SANITATION AND HYGIENE IN PANDEMICS</w:t>
      </w:r>
      <w:bookmarkEnd w:id="0"/>
      <w:r w:rsidRPr="009E14BC">
        <w:t xml:space="preserve"> </w:t>
      </w:r>
    </w:p>
    <w:p w14:paraId="3D2B79E0" w14:textId="77777777" w:rsidR="000D3EF5" w:rsidRDefault="000D3EF5" w:rsidP="000D3EF5">
      <w:pPr>
        <w:spacing w:after="0" w:line="360" w:lineRule="auto"/>
        <w:jc w:val="both"/>
        <w:rPr>
          <w:rFonts w:cs="Times New Roman"/>
          <w:b/>
          <w:bCs/>
          <w:szCs w:val="24"/>
        </w:rPr>
      </w:pPr>
      <w:bookmarkStart w:id="1" w:name="_GoBack"/>
      <w:bookmarkEnd w:id="1"/>
    </w:p>
    <w:p w14:paraId="5BD791D6" w14:textId="17EEBF3E" w:rsidR="000D3EF5" w:rsidRDefault="000D3EF5" w:rsidP="000D3EF5">
      <w:pPr>
        <w:spacing w:after="0" w:line="360" w:lineRule="auto"/>
        <w:jc w:val="both"/>
        <w:rPr>
          <w:rFonts w:cs="Times New Roman"/>
          <w:b/>
          <w:szCs w:val="24"/>
        </w:rPr>
      </w:pPr>
      <w:r>
        <w:rPr>
          <w:rFonts w:cs="Times New Roman"/>
          <w:b/>
          <w:bCs/>
          <w:szCs w:val="24"/>
        </w:rPr>
        <w:t xml:space="preserve">Module Overview </w:t>
      </w:r>
      <w:r w:rsidRPr="004944D0">
        <w:rPr>
          <w:rFonts w:cs="Times New Roman"/>
          <w:b/>
          <w:szCs w:val="24"/>
        </w:rPr>
        <w:t xml:space="preserve"> </w:t>
      </w:r>
    </w:p>
    <w:p w14:paraId="780296C8" w14:textId="77777777" w:rsidR="000D3EF5" w:rsidRDefault="000D3EF5" w:rsidP="000D3EF5">
      <w:pPr>
        <w:spacing w:after="0" w:line="360" w:lineRule="auto"/>
        <w:jc w:val="both"/>
        <w:rPr>
          <w:rFonts w:cs="Times New Roman"/>
          <w:szCs w:val="24"/>
        </w:rPr>
      </w:pPr>
      <w:r w:rsidRPr="004944D0">
        <w:rPr>
          <w:rFonts w:cs="Times New Roman"/>
          <w:szCs w:val="24"/>
        </w:rPr>
        <w:t>One Health definitions and Concepts, application of One Health in promoting water Quantity, Quality and Accessibility and its use in preventing the spread of wa</w:t>
      </w:r>
      <w:r>
        <w:rPr>
          <w:rFonts w:cs="Times New Roman"/>
          <w:szCs w:val="24"/>
        </w:rPr>
        <w:t>ter sanitation related diseases</w:t>
      </w:r>
    </w:p>
    <w:p w14:paraId="165F60E8" w14:textId="77777777" w:rsidR="000D3EF5" w:rsidRPr="00566B42" w:rsidRDefault="000D3EF5" w:rsidP="000D3EF5">
      <w:pPr>
        <w:spacing w:after="0" w:line="360" w:lineRule="auto"/>
        <w:jc w:val="both"/>
        <w:rPr>
          <w:rFonts w:cs="Times New Roman"/>
          <w:b/>
          <w:bCs/>
          <w:szCs w:val="24"/>
        </w:rPr>
      </w:pPr>
      <w:r w:rsidRPr="00756A71">
        <w:rPr>
          <w:rFonts w:cs="Times New Roman"/>
          <w:bCs/>
          <w:szCs w:val="24"/>
        </w:rPr>
        <w:t>Role</w:t>
      </w:r>
      <w:r w:rsidRPr="004944D0">
        <w:rPr>
          <w:rFonts w:cs="Times New Roman"/>
          <w:bCs/>
          <w:szCs w:val="24"/>
        </w:rPr>
        <w:t xml:space="preserve"> of </w:t>
      </w:r>
      <w:r w:rsidRPr="00756A71">
        <w:rPr>
          <w:rFonts w:cs="Times New Roman"/>
          <w:bCs/>
          <w:szCs w:val="24"/>
        </w:rPr>
        <w:t xml:space="preserve">the </w:t>
      </w:r>
      <w:r w:rsidRPr="004944D0">
        <w:rPr>
          <w:rFonts w:cs="Times New Roman"/>
          <w:bCs/>
          <w:szCs w:val="24"/>
        </w:rPr>
        <w:t xml:space="preserve">One Health </w:t>
      </w:r>
      <w:r w:rsidRPr="00756A71">
        <w:rPr>
          <w:rFonts w:cs="Times New Roman"/>
          <w:bCs/>
          <w:szCs w:val="24"/>
        </w:rPr>
        <w:t xml:space="preserve">approach </w:t>
      </w:r>
      <w:r w:rsidRPr="004944D0">
        <w:rPr>
          <w:rFonts w:cs="Times New Roman"/>
          <w:bCs/>
          <w:szCs w:val="24"/>
        </w:rPr>
        <w:t xml:space="preserve">in promoting </w:t>
      </w:r>
      <w:r w:rsidRPr="00756A71">
        <w:rPr>
          <w:rFonts w:cs="Times New Roman"/>
          <w:bCs/>
          <w:szCs w:val="24"/>
        </w:rPr>
        <w:t xml:space="preserve">safe water, sanitation and </w:t>
      </w:r>
      <w:r w:rsidRPr="004944D0">
        <w:rPr>
          <w:rFonts w:cs="Times New Roman"/>
          <w:bCs/>
          <w:szCs w:val="24"/>
        </w:rPr>
        <w:t xml:space="preserve">personal hygiene, community water hygiene and environment health; Role of One Health in ensuring food safety and hygiene, </w:t>
      </w:r>
      <w:r w:rsidRPr="00756A71">
        <w:rPr>
          <w:rFonts w:cs="Times New Roman"/>
          <w:bCs/>
          <w:szCs w:val="24"/>
        </w:rPr>
        <w:t>human health, animal health and environmental health,</w:t>
      </w:r>
      <w:r w:rsidRPr="004944D0">
        <w:rPr>
          <w:rFonts w:cs="Times New Roman"/>
          <w:bCs/>
          <w:szCs w:val="24"/>
        </w:rPr>
        <w:t xml:space="preserve"> and prevention of poor </w:t>
      </w:r>
      <w:r w:rsidRPr="00756A71">
        <w:rPr>
          <w:rFonts w:cs="Times New Roman"/>
          <w:bCs/>
          <w:szCs w:val="24"/>
        </w:rPr>
        <w:t>WASH</w:t>
      </w:r>
      <w:r w:rsidRPr="004944D0">
        <w:rPr>
          <w:rFonts w:cs="Times New Roman"/>
          <w:bCs/>
          <w:szCs w:val="24"/>
        </w:rPr>
        <w:t xml:space="preserve"> related diseases</w:t>
      </w:r>
      <w:r w:rsidRPr="004944D0">
        <w:rPr>
          <w:rFonts w:cs="Times New Roman"/>
          <w:b/>
          <w:szCs w:val="24"/>
        </w:rPr>
        <w:t xml:space="preserve">. </w:t>
      </w:r>
      <w:r w:rsidRPr="004944D0">
        <w:rPr>
          <w:rFonts w:cs="Times New Roman"/>
          <w:bCs/>
          <w:szCs w:val="24"/>
        </w:rPr>
        <w:t>Application of One Health in managing water resources and wastes</w:t>
      </w:r>
    </w:p>
    <w:p w14:paraId="64156DA2" w14:textId="77777777" w:rsidR="000D3EF5" w:rsidRDefault="000D3EF5" w:rsidP="000D3EF5">
      <w:pPr>
        <w:spacing w:after="0" w:line="360" w:lineRule="auto"/>
        <w:jc w:val="both"/>
        <w:rPr>
          <w:rFonts w:cs="Times New Roman"/>
          <w:szCs w:val="24"/>
        </w:rPr>
      </w:pPr>
      <w:r w:rsidRPr="00E63992">
        <w:rPr>
          <w:rFonts w:cs="Times New Roman"/>
          <w:szCs w:val="24"/>
        </w:rPr>
        <w:t xml:space="preserve">Definitions and Concepts: water; water sources; water treatment; Water quality and quantity </w:t>
      </w:r>
      <w:r w:rsidRPr="00566B42">
        <w:rPr>
          <w:rFonts w:cs="Times New Roman"/>
          <w:szCs w:val="24"/>
        </w:rPr>
        <w:t>in preparing and responding to pandemics</w:t>
      </w:r>
      <w:r w:rsidRPr="00E63992">
        <w:rPr>
          <w:rFonts w:cs="Times New Roman"/>
          <w:szCs w:val="24"/>
        </w:rPr>
        <w:t>; Water sanitation, supply, application of WASH in promoting water Quantity, Quality and Accessibility, sanitation; the importance of sanitation in preventing the spread of water-borne diseases; hygiene and promotion; hygiene and gender; hygiene and households; the impact of efficient water hygiene in promoting community and environment</w:t>
      </w:r>
      <w:r>
        <w:rPr>
          <w:rFonts w:cs="Times New Roman"/>
          <w:szCs w:val="24"/>
        </w:rPr>
        <w:t>al</w:t>
      </w:r>
      <w:r w:rsidRPr="00E63992">
        <w:rPr>
          <w:rFonts w:cs="Times New Roman"/>
          <w:szCs w:val="24"/>
        </w:rPr>
        <w:t xml:space="preserve"> health; Role of WASH in ensuring food safety, hygiene and prevention of poor </w:t>
      </w:r>
      <w:r>
        <w:rPr>
          <w:rFonts w:cs="Times New Roman"/>
          <w:szCs w:val="24"/>
        </w:rPr>
        <w:t>WASH</w:t>
      </w:r>
      <w:r w:rsidRPr="00E63992">
        <w:rPr>
          <w:rFonts w:cs="Times New Roman"/>
          <w:szCs w:val="24"/>
        </w:rPr>
        <w:t>-related diseases. Application of WASH principles; Hygiene promotion; water supply, excreta management; vector control; solid waste management; WASH in pandemic preparedness; managing water resources and wastes, promoting good hygiene and practices, ways of managing the water chain and sanitation in an integrated manner.</w:t>
      </w:r>
    </w:p>
    <w:p w14:paraId="251BD963" w14:textId="77777777" w:rsidR="000D3EF5" w:rsidRPr="000A0C63" w:rsidRDefault="000D3EF5" w:rsidP="000D3EF5">
      <w:pPr>
        <w:spacing w:after="0" w:line="360" w:lineRule="auto"/>
        <w:jc w:val="both"/>
        <w:rPr>
          <w:rFonts w:cs="Times New Roman"/>
          <w:sz w:val="8"/>
          <w:szCs w:val="24"/>
        </w:rPr>
      </w:pPr>
    </w:p>
    <w:p w14:paraId="386F7645" w14:textId="77777777" w:rsidR="000D3EF5" w:rsidRPr="00E63992" w:rsidRDefault="000D3EF5" w:rsidP="000D3EF5">
      <w:pPr>
        <w:spacing w:after="0" w:line="360" w:lineRule="auto"/>
        <w:jc w:val="both"/>
        <w:rPr>
          <w:rFonts w:cs="Times New Roman"/>
          <w:b/>
          <w:bCs/>
          <w:szCs w:val="24"/>
        </w:rPr>
      </w:pPr>
      <w:r w:rsidRPr="00E63992">
        <w:rPr>
          <w:rFonts w:cs="Times New Roman"/>
          <w:b/>
          <w:bCs/>
          <w:szCs w:val="24"/>
        </w:rPr>
        <w:t xml:space="preserve">Mode of Delivery </w:t>
      </w:r>
    </w:p>
    <w:p w14:paraId="2718FD99" w14:textId="77777777" w:rsidR="000D3EF5" w:rsidRPr="002305FE" w:rsidRDefault="000D3EF5" w:rsidP="000D3EF5">
      <w:pPr>
        <w:spacing w:after="0" w:line="360" w:lineRule="auto"/>
        <w:jc w:val="both"/>
        <w:rPr>
          <w:rFonts w:cs="Times New Roman"/>
          <w:szCs w:val="24"/>
        </w:rPr>
      </w:pPr>
      <w:r w:rsidRPr="002305FE">
        <w:rPr>
          <w:rFonts w:cs="Times New Roman"/>
          <w:szCs w:val="24"/>
        </w:rPr>
        <w:t>Interactive lectures, problem-based learning using interactive tutorials, small group discussions, written assignments, plenary presentations</w:t>
      </w:r>
      <w:r>
        <w:rPr>
          <w:rFonts w:cs="Times New Roman"/>
          <w:szCs w:val="24"/>
        </w:rPr>
        <w:t>,</w:t>
      </w:r>
      <w:r w:rsidRPr="002305FE">
        <w:rPr>
          <w:rFonts w:cs="Times New Roman"/>
          <w:szCs w:val="24"/>
        </w:rPr>
        <w:t xml:space="preserve"> and case studies; </w:t>
      </w:r>
      <w:r w:rsidRPr="002305FE">
        <w:rPr>
          <w:rFonts w:cs="Times New Roman"/>
          <w:i/>
          <w:iCs/>
          <w:szCs w:val="24"/>
        </w:rPr>
        <w:t>experiential learning</w:t>
      </w:r>
      <w:r w:rsidRPr="002305FE">
        <w:rPr>
          <w:rFonts w:cs="Times New Roman"/>
          <w:szCs w:val="24"/>
        </w:rPr>
        <w:t xml:space="preserve"> through independent study and field visits, field works and placements, and online peer discussions using video clips and conferencing. For experiential learning learners will visit water treatment plants, water bodies, abattoirs, livestock farms and sanitation facilities in schools, hospitals and other public places to learn about WASH and how those sites prepare and respond to pandemics.</w:t>
      </w:r>
    </w:p>
    <w:p w14:paraId="04C5A9D5" w14:textId="77777777" w:rsidR="000D3EF5" w:rsidRPr="000A0C63" w:rsidRDefault="000D3EF5" w:rsidP="000D3EF5">
      <w:pPr>
        <w:spacing w:after="0" w:line="360" w:lineRule="auto"/>
        <w:jc w:val="both"/>
        <w:rPr>
          <w:rFonts w:cs="Times New Roman"/>
          <w:sz w:val="6"/>
          <w:szCs w:val="24"/>
        </w:rPr>
      </w:pPr>
    </w:p>
    <w:p w14:paraId="2E10FC4A" w14:textId="77777777" w:rsidR="000D3EF5" w:rsidRPr="00E63992" w:rsidRDefault="000D3EF5" w:rsidP="000D3EF5">
      <w:pPr>
        <w:spacing w:after="0" w:line="360" w:lineRule="auto"/>
        <w:jc w:val="both"/>
        <w:rPr>
          <w:rFonts w:cs="Times New Roman"/>
          <w:b/>
          <w:bCs/>
          <w:szCs w:val="24"/>
        </w:rPr>
      </w:pPr>
      <w:r w:rsidRPr="00E63992">
        <w:rPr>
          <w:rFonts w:cs="Times New Roman"/>
          <w:b/>
          <w:bCs/>
          <w:szCs w:val="24"/>
        </w:rPr>
        <w:t>Instructional Materials</w:t>
      </w:r>
    </w:p>
    <w:p w14:paraId="5CAB674A" w14:textId="77777777" w:rsidR="000D3EF5" w:rsidRPr="00E63992" w:rsidRDefault="000D3EF5" w:rsidP="000D3EF5">
      <w:pPr>
        <w:spacing w:after="0" w:line="360" w:lineRule="auto"/>
        <w:contextualSpacing/>
        <w:jc w:val="both"/>
        <w:rPr>
          <w:rFonts w:cs="Times New Roman"/>
          <w:szCs w:val="24"/>
        </w:rPr>
      </w:pPr>
      <w:r w:rsidRPr="00E63992">
        <w:rPr>
          <w:rFonts w:cs="Times New Roman"/>
          <w:i/>
          <w:iCs/>
          <w:szCs w:val="24"/>
        </w:rPr>
        <w:t>Materials:</w:t>
      </w:r>
      <w:r w:rsidRPr="00E63992">
        <w:rPr>
          <w:rFonts w:cs="Times New Roman"/>
          <w:szCs w:val="24"/>
        </w:rPr>
        <w:t xml:space="preserve"> Lecture notes and slides, video clips, </w:t>
      </w:r>
      <w:r>
        <w:rPr>
          <w:rFonts w:cs="Times New Roman"/>
          <w:szCs w:val="24"/>
        </w:rPr>
        <w:t>h</w:t>
      </w:r>
      <w:r w:rsidRPr="00E63992">
        <w:rPr>
          <w:rFonts w:cs="Times New Roman"/>
          <w:szCs w:val="24"/>
        </w:rPr>
        <w:t xml:space="preserve">andouts, case studies, </w:t>
      </w:r>
      <w:r>
        <w:rPr>
          <w:rFonts w:cs="Times New Roman"/>
          <w:szCs w:val="24"/>
        </w:rPr>
        <w:t>r</w:t>
      </w:r>
      <w:r w:rsidRPr="00E63992">
        <w:rPr>
          <w:rFonts w:cs="Times New Roman"/>
          <w:szCs w:val="24"/>
        </w:rPr>
        <w:t>eference materials (</w:t>
      </w:r>
      <w:r>
        <w:rPr>
          <w:rFonts w:cs="Times New Roman"/>
          <w:szCs w:val="24"/>
        </w:rPr>
        <w:t>text</w:t>
      </w:r>
      <w:r w:rsidRPr="00E63992">
        <w:rPr>
          <w:rFonts w:cs="Times New Roman"/>
          <w:szCs w:val="24"/>
        </w:rPr>
        <w:t>books, journals, policy document</w:t>
      </w:r>
      <w:r>
        <w:rPr>
          <w:rFonts w:cs="Times New Roman"/>
          <w:szCs w:val="24"/>
        </w:rPr>
        <w:t xml:space="preserve"> </w:t>
      </w:r>
      <w:r w:rsidRPr="00E63992">
        <w:rPr>
          <w:rFonts w:cs="Times New Roman"/>
          <w:szCs w:val="24"/>
        </w:rPr>
        <w:t xml:space="preserve">guidelines), institutional placements and field visits </w:t>
      </w:r>
    </w:p>
    <w:p w14:paraId="36A67BDE" w14:textId="77777777" w:rsidR="000D3EF5" w:rsidRPr="000A0C63" w:rsidRDefault="000D3EF5" w:rsidP="000D3EF5">
      <w:pPr>
        <w:spacing w:after="0" w:line="360" w:lineRule="auto"/>
        <w:contextualSpacing/>
        <w:jc w:val="both"/>
        <w:rPr>
          <w:rFonts w:cs="Times New Roman"/>
          <w:sz w:val="8"/>
          <w:szCs w:val="24"/>
        </w:rPr>
      </w:pPr>
    </w:p>
    <w:p w14:paraId="2BEAC266" w14:textId="77777777" w:rsidR="000D3EF5" w:rsidRDefault="000D3EF5" w:rsidP="000D3EF5">
      <w:pPr>
        <w:spacing w:after="0" w:line="360" w:lineRule="auto"/>
        <w:contextualSpacing/>
        <w:jc w:val="both"/>
        <w:rPr>
          <w:rFonts w:cs="Times New Roman"/>
          <w:szCs w:val="24"/>
        </w:rPr>
      </w:pPr>
      <w:r w:rsidRPr="00E63992">
        <w:rPr>
          <w:rFonts w:cs="Times New Roman"/>
          <w:i/>
          <w:iCs/>
          <w:szCs w:val="24"/>
        </w:rPr>
        <w:lastRenderedPageBreak/>
        <w:t>Equipment:</w:t>
      </w:r>
      <w:r w:rsidRPr="00E63992">
        <w:rPr>
          <w:rFonts w:cs="Times New Roman"/>
          <w:szCs w:val="24"/>
        </w:rPr>
        <w:t xml:space="preserve"> LCD projectors, laptops, whiteboard, </w:t>
      </w:r>
      <w:r>
        <w:rPr>
          <w:rFonts w:cs="Times New Roman"/>
          <w:szCs w:val="24"/>
        </w:rPr>
        <w:t>m</w:t>
      </w:r>
      <w:r w:rsidRPr="00E63992">
        <w:rPr>
          <w:rFonts w:cs="Times New Roman"/>
          <w:szCs w:val="24"/>
        </w:rPr>
        <w:t xml:space="preserve">arkers and flipcharts, </w:t>
      </w:r>
      <w:r>
        <w:rPr>
          <w:rFonts w:cs="Times New Roman"/>
          <w:szCs w:val="24"/>
        </w:rPr>
        <w:t>printers</w:t>
      </w:r>
      <w:r w:rsidRPr="00E63992">
        <w:rPr>
          <w:rFonts w:cs="Times New Roman"/>
          <w:szCs w:val="24"/>
        </w:rPr>
        <w:t xml:space="preserve">, </w:t>
      </w:r>
      <w:r>
        <w:rPr>
          <w:rFonts w:cs="Times New Roman"/>
          <w:szCs w:val="24"/>
        </w:rPr>
        <w:t>internet</w:t>
      </w:r>
      <w:r w:rsidRPr="00E63992">
        <w:rPr>
          <w:rFonts w:cs="Times New Roman"/>
          <w:szCs w:val="24"/>
        </w:rPr>
        <w:t xml:space="preserve"> access for e-resources, mobile phones.</w:t>
      </w:r>
    </w:p>
    <w:p w14:paraId="68309938" w14:textId="77777777" w:rsidR="000D3EF5" w:rsidRPr="000A0C63" w:rsidRDefault="000D3EF5" w:rsidP="000D3EF5">
      <w:pPr>
        <w:spacing w:after="0" w:line="360" w:lineRule="auto"/>
        <w:contextualSpacing/>
        <w:jc w:val="both"/>
        <w:rPr>
          <w:rFonts w:cs="Times New Roman"/>
          <w:sz w:val="8"/>
          <w:szCs w:val="24"/>
        </w:rPr>
      </w:pPr>
    </w:p>
    <w:p w14:paraId="2B72F534" w14:textId="77777777" w:rsidR="000D3EF5" w:rsidRPr="00E63992" w:rsidRDefault="000D3EF5" w:rsidP="000D3EF5">
      <w:pPr>
        <w:spacing w:after="0" w:line="360" w:lineRule="auto"/>
        <w:jc w:val="both"/>
        <w:rPr>
          <w:rFonts w:cs="Times New Roman"/>
          <w:b/>
          <w:bCs/>
          <w:szCs w:val="24"/>
        </w:rPr>
      </w:pPr>
      <w:r w:rsidRPr="00E63992">
        <w:rPr>
          <w:rFonts w:cs="Times New Roman"/>
          <w:b/>
          <w:bCs/>
          <w:szCs w:val="24"/>
        </w:rPr>
        <w:t>Core Reference Materials</w:t>
      </w:r>
    </w:p>
    <w:p w14:paraId="74358907" w14:textId="77777777" w:rsidR="000D3EF5" w:rsidRPr="007A449E" w:rsidRDefault="000D3EF5" w:rsidP="000D3EF5">
      <w:pPr>
        <w:numPr>
          <w:ilvl w:val="0"/>
          <w:numId w:val="1"/>
        </w:numPr>
        <w:spacing w:after="0" w:line="300" w:lineRule="auto"/>
        <w:jc w:val="both"/>
        <w:rPr>
          <w:rFonts w:cs="Times New Roman"/>
          <w:szCs w:val="24"/>
        </w:rPr>
      </w:pPr>
      <w:r w:rsidRPr="007A449E">
        <w:rPr>
          <w:rFonts w:cs="Times New Roman"/>
          <w:szCs w:val="24"/>
        </w:rPr>
        <w:t xml:space="preserve">Sphere Association. </w:t>
      </w:r>
      <w:r w:rsidRPr="007A449E">
        <w:rPr>
          <w:rFonts w:cs="Times New Roman"/>
          <w:color w:val="222222"/>
          <w:szCs w:val="24"/>
          <w:shd w:val="clear" w:color="auto" w:fill="FFFFFF"/>
        </w:rPr>
        <w:t>(Ed.). (2018). </w:t>
      </w:r>
      <w:r w:rsidRPr="007A449E">
        <w:rPr>
          <w:rFonts w:cs="Times New Roman"/>
          <w:i/>
          <w:iCs/>
          <w:color w:val="222222"/>
          <w:szCs w:val="24"/>
          <w:shd w:val="clear" w:color="auto" w:fill="FFFFFF"/>
        </w:rPr>
        <w:t>Sphere handbook: humanitarian charter and minimum standards in humanitarian response</w:t>
      </w:r>
      <w:r w:rsidRPr="007A449E">
        <w:rPr>
          <w:rFonts w:cs="Times New Roman"/>
          <w:color w:val="222222"/>
          <w:szCs w:val="24"/>
          <w:shd w:val="clear" w:color="auto" w:fill="FFFFFF"/>
        </w:rPr>
        <w:t>. Practical Action</w:t>
      </w:r>
      <w:r w:rsidRPr="007A449E">
        <w:rPr>
          <w:rFonts w:cs="Times New Roman"/>
          <w:szCs w:val="24"/>
        </w:rPr>
        <w:t>www.spherestandards.org/handbook</w:t>
      </w:r>
    </w:p>
    <w:p w14:paraId="44D6DA23" w14:textId="77777777" w:rsidR="000D3EF5" w:rsidRPr="007A449E" w:rsidRDefault="000D3EF5" w:rsidP="000D3EF5">
      <w:pPr>
        <w:numPr>
          <w:ilvl w:val="0"/>
          <w:numId w:val="1"/>
        </w:numPr>
        <w:spacing w:after="0" w:line="300" w:lineRule="auto"/>
        <w:jc w:val="both"/>
        <w:rPr>
          <w:rFonts w:cs="Times New Roman"/>
          <w:color w:val="000000"/>
          <w:szCs w:val="24"/>
        </w:rPr>
      </w:pPr>
      <w:r w:rsidRPr="007A449E">
        <w:rPr>
          <w:rFonts w:cs="Times New Roman"/>
          <w:color w:val="222222"/>
          <w:szCs w:val="24"/>
          <w:shd w:val="clear" w:color="auto" w:fill="FFFFFF"/>
        </w:rPr>
        <w:t xml:space="preserve">Bartram, J., &amp; </w:t>
      </w:r>
      <w:proofErr w:type="spellStart"/>
      <w:r w:rsidRPr="007A449E">
        <w:rPr>
          <w:rFonts w:cs="Times New Roman"/>
          <w:color w:val="222222"/>
          <w:szCs w:val="24"/>
          <w:shd w:val="clear" w:color="auto" w:fill="FFFFFF"/>
        </w:rPr>
        <w:t>Cairncross</w:t>
      </w:r>
      <w:proofErr w:type="spellEnd"/>
      <w:r w:rsidRPr="007A449E">
        <w:rPr>
          <w:rFonts w:cs="Times New Roman"/>
          <w:color w:val="222222"/>
          <w:szCs w:val="24"/>
          <w:shd w:val="clear" w:color="auto" w:fill="FFFFFF"/>
        </w:rPr>
        <w:t>, S. (2010). Hygiene, sanitation, and water: forgotten foundations of health. </w:t>
      </w:r>
      <w:proofErr w:type="spellStart"/>
      <w:r w:rsidRPr="007A449E">
        <w:rPr>
          <w:rFonts w:cs="Times New Roman"/>
          <w:i/>
          <w:iCs/>
          <w:color w:val="222222"/>
          <w:szCs w:val="24"/>
          <w:shd w:val="clear" w:color="auto" w:fill="FFFFFF"/>
        </w:rPr>
        <w:t>PLoS</w:t>
      </w:r>
      <w:proofErr w:type="spellEnd"/>
      <w:r w:rsidRPr="007A449E">
        <w:rPr>
          <w:rFonts w:cs="Times New Roman"/>
          <w:i/>
          <w:iCs/>
          <w:color w:val="222222"/>
          <w:szCs w:val="24"/>
          <w:shd w:val="clear" w:color="auto" w:fill="FFFFFF"/>
        </w:rPr>
        <w:t xml:space="preserve"> medicine</w:t>
      </w:r>
      <w:r w:rsidRPr="007A449E">
        <w:rPr>
          <w:rFonts w:cs="Times New Roman"/>
          <w:color w:val="222222"/>
          <w:szCs w:val="24"/>
          <w:shd w:val="clear" w:color="auto" w:fill="FFFFFF"/>
        </w:rPr>
        <w:t>, </w:t>
      </w:r>
      <w:r w:rsidRPr="007A449E">
        <w:rPr>
          <w:rFonts w:cs="Times New Roman"/>
          <w:i/>
          <w:iCs/>
          <w:color w:val="222222"/>
          <w:szCs w:val="24"/>
          <w:shd w:val="clear" w:color="auto" w:fill="FFFFFF"/>
        </w:rPr>
        <w:t>7</w:t>
      </w:r>
      <w:r w:rsidRPr="007A449E">
        <w:rPr>
          <w:rFonts w:cs="Times New Roman"/>
          <w:color w:val="222222"/>
          <w:szCs w:val="24"/>
          <w:shd w:val="clear" w:color="auto" w:fill="FFFFFF"/>
        </w:rPr>
        <w:t>(11), e1000367.</w:t>
      </w:r>
    </w:p>
    <w:p w14:paraId="017B4FA7" w14:textId="77777777" w:rsidR="000D3EF5" w:rsidRPr="007A449E" w:rsidRDefault="000D3EF5" w:rsidP="000D3EF5">
      <w:pPr>
        <w:numPr>
          <w:ilvl w:val="0"/>
          <w:numId w:val="1"/>
        </w:numPr>
        <w:spacing w:after="0" w:line="300" w:lineRule="auto"/>
        <w:jc w:val="both"/>
        <w:rPr>
          <w:rFonts w:cs="Times New Roman"/>
          <w:color w:val="000000"/>
          <w:szCs w:val="24"/>
        </w:rPr>
      </w:pPr>
      <w:r w:rsidRPr="007A449E">
        <w:rPr>
          <w:rFonts w:cs="Times New Roman"/>
          <w:color w:val="222222"/>
          <w:szCs w:val="24"/>
          <w:shd w:val="clear" w:color="auto" w:fill="FFFFFF"/>
        </w:rPr>
        <w:t xml:space="preserve">Blanchet, K., </w:t>
      </w:r>
      <w:proofErr w:type="spellStart"/>
      <w:r w:rsidRPr="007A449E">
        <w:rPr>
          <w:rFonts w:cs="Times New Roman"/>
          <w:color w:val="222222"/>
          <w:szCs w:val="24"/>
          <w:shd w:val="clear" w:color="auto" w:fill="FFFFFF"/>
        </w:rPr>
        <w:t>Sistenich</w:t>
      </w:r>
      <w:proofErr w:type="spellEnd"/>
      <w:r w:rsidRPr="007A449E">
        <w:rPr>
          <w:rFonts w:cs="Times New Roman"/>
          <w:color w:val="222222"/>
          <w:szCs w:val="24"/>
          <w:shd w:val="clear" w:color="auto" w:fill="FFFFFF"/>
        </w:rPr>
        <w:t xml:space="preserve">, V., Ramesh, A., </w:t>
      </w:r>
      <w:proofErr w:type="spellStart"/>
      <w:r w:rsidRPr="007A449E">
        <w:rPr>
          <w:rFonts w:cs="Times New Roman"/>
          <w:color w:val="222222"/>
          <w:szCs w:val="24"/>
          <w:shd w:val="clear" w:color="auto" w:fill="FFFFFF"/>
        </w:rPr>
        <w:t>Frison</w:t>
      </w:r>
      <w:proofErr w:type="spellEnd"/>
      <w:r w:rsidRPr="007A449E">
        <w:rPr>
          <w:rFonts w:cs="Times New Roman"/>
          <w:color w:val="222222"/>
          <w:szCs w:val="24"/>
          <w:shd w:val="clear" w:color="auto" w:fill="FFFFFF"/>
        </w:rPr>
        <w:t>, S., Warren, E., Hossain, M., ... &amp; Roberts, B. (2013). An evidence review of research on health interventions in humanitarian crises. </w:t>
      </w:r>
      <w:r w:rsidRPr="007A449E">
        <w:rPr>
          <w:rFonts w:cs="Times New Roman"/>
          <w:i/>
          <w:iCs/>
          <w:color w:val="222222"/>
          <w:szCs w:val="24"/>
          <w:shd w:val="clear" w:color="auto" w:fill="FFFFFF"/>
        </w:rPr>
        <w:t>London: London School of Hygiene &amp; Tropical Medicine</w:t>
      </w:r>
      <w:r w:rsidRPr="007A449E">
        <w:rPr>
          <w:rFonts w:cs="Times New Roman"/>
          <w:color w:val="222222"/>
          <w:szCs w:val="24"/>
          <w:shd w:val="clear" w:color="auto" w:fill="FFFFFF"/>
        </w:rPr>
        <w:t>, 22.</w:t>
      </w:r>
    </w:p>
    <w:p w14:paraId="72AB7276" w14:textId="77777777" w:rsidR="000D3EF5" w:rsidRPr="007A449E" w:rsidRDefault="000D3EF5" w:rsidP="000D3EF5">
      <w:pPr>
        <w:numPr>
          <w:ilvl w:val="0"/>
          <w:numId w:val="1"/>
        </w:numPr>
        <w:spacing w:after="0" w:line="300" w:lineRule="auto"/>
        <w:jc w:val="both"/>
        <w:rPr>
          <w:rFonts w:cs="Times New Roman"/>
          <w:color w:val="000000"/>
          <w:szCs w:val="24"/>
        </w:rPr>
      </w:pPr>
      <w:r w:rsidRPr="007A449E">
        <w:rPr>
          <w:rFonts w:cs="Times New Roman"/>
          <w:color w:val="222222"/>
          <w:szCs w:val="24"/>
          <w:shd w:val="clear" w:color="auto" w:fill="FFFFFF"/>
        </w:rPr>
        <w:t xml:space="preserve">Campbell, O. M., </w:t>
      </w:r>
      <w:proofErr w:type="spellStart"/>
      <w:r w:rsidRPr="007A449E">
        <w:rPr>
          <w:rFonts w:cs="Times New Roman"/>
          <w:color w:val="222222"/>
          <w:szCs w:val="24"/>
          <w:shd w:val="clear" w:color="auto" w:fill="FFFFFF"/>
        </w:rPr>
        <w:t>Benova</w:t>
      </w:r>
      <w:proofErr w:type="spellEnd"/>
      <w:r w:rsidRPr="007A449E">
        <w:rPr>
          <w:rFonts w:cs="Times New Roman"/>
          <w:color w:val="222222"/>
          <w:szCs w:val="24"/>
          <w:shd w:val="clear" w:color="auto" w:fill="FFFFFF"/>
        </w:rPr>
        <w:t xml:space="preserve">, L., Gon, G., </w:t>
      </w:r>
      <w:proofErr w:type="spellStart"/>
      <w:r w:rsidRPr="007A449E">
        <w:rPr>
          <w:rFonts w:cs="Times New Roman"/>
          <w:color w:val="222222"/>
          <w:szCs w:val="24"/>
          <w:shd w:val="clear" w:color="auto" w:fill="FFFFFF"/>
        </w:rPr>
        <w:t>Afsana</w:t>
      </w:r>
      <w:proofErr w:type="spellEnd"/>
      <w:r w:rsidRPr="007A449E">
        <w:rPr>
          <w:rFonts w:cs="Times New Roman"/>
          <w:color w:val="222222"/>
          <w:szCs w:val="24"/>
          <w:shd w:val="clear" w:color="auto" w:fill="FFFFFF"/>
        </w:rPr>
        <w:t>, K., &amp; Cumming, O. (2015). Getting the basic rights–the role of water, sanitation and hygiene in maternal and reproductive health: a conceptual framework. </w:t>
      </w:r>
      <w:r w:rsidRPr="007A449E">
        <w:rPr>
          <w:rFonts w:cs="Times New Roman"/>
          <w:i/>
          <w:iCs/>
          <w:color w:val="222222"/>
          <w:szCs w:val="24"/>
          <w:shd w:val="clear" w:color="auto" w:fill="FFFFFF"/>
        </w:rPr>
        <w:t>Tropical medicine &amp; international health</w:t>
      </w:r>
      <w:r w:rsidRPr="007A449E">
        <w:rPr>
          <w:rFonts w:cs="Times New Roman"/>
          <w:color w:val="222222"/>
          <w:szCs w:val="24"/>
          <w:shd w:val="clear" w:color="auto" w:fill="FFFFFF"/>
        </w:rPr>
        <w:t>, </w:t>
      </w:r>
      <w:r w:rsidRPr="007A449E">
        <w:rPr>
          <w:rFonts w:cs="Times New Roman"/>
          <w:i/>
          <w:iCs/>
          <w:color w:val="222222"/>
          <w:szCs w:val="24"/>
          <w:shd w:val="clear" w:color="auto" w:fill="FFFFFF"/>
        </w:rPr>
        <w:t>20</w:t>
      </w:r>
      <w:r w:rsidRPr="007A449E">
        <w:rPr>
          <w:rFonts w:cs="Times New Roman"/>
          <w:color w:val="222222"/>
          <w:szCs w:val="24"/>
          <w:shd w:val="clear" w:color="auto" w:fill="FFFFFF"/>
        </w:rPr>
        <w:t>(3), 252-267</w:t>
      </w:r>
    </w:p>
    <w:p w14:paraId="36530CEF" w14:textId="77777777" w:rsidR="000D3EF5" w:rsidRPr="007A449E" w:rsidRDefault="000D3EF5" w:rsidP="000D3EF5">
      <w:pPr>
        <w:numPr>
          <w:ilvl w:val="0"/>
          <w:numId w:val="1"/>
        </w:numPr>
        <w:autoSpaceDE w:val="0"/>
        <w:autoSpaceDN w:val="0"/>
        <w:adjustRightInd w:val="0"/>
        <w:spacing w:after="0" w:line="300" w:lineRule="auto"/>
        <w:contextualSpacing/>
        <w:jc w:val="both"/>
        <w:rPr>
          <w:rFonts w:cs="Times New Roman"/>
          <w:color w:val="000000"/>
          <w:szCs w:val="24"/>
        </w:rPr>
      </w:pPr>
      <w:proofErr w:type="spellStart"/>
      <w:r w:rsidRPr="007A449E">
        <w:rPr>
          <w:rFonts w:cs="Times New Roman"/>
          <w:color w:val="222222"/>
          <w:szCs w:val="24"/>
          <w:shd w:val="clear" w:color="auto" w:fill="FFFFFF"/>
        </w:rPr>
        <w:t>Fewtrell</w:t>
      </w:r>
      <w:proofErr w:type="spellEnd"/>
      <w:r w:rsidRPr="007A449E">
        <w:rPr>
          <w:rFonts w:cs="Times New Roman"/>
          <w:color w:val="222222"/>
          <w:szCs w:val="24"/>
          <w:shd w:val="clear" w:color="auto" w:fill="FFFFFF"/>
        </w:rPr>
        <w:t xml:space="preserve">, L., Kaufmann, R. B., Kay, D., </w:t>
      </w:r>
      <w:proofErr w:type="spellStart"/>
      <w:r w:rsidRPr="007A449E">
        <w:rPr>
          <w:rFonts w:cs="Times New Roman"/>
          <w:color w:val="222222"/>
          <w:szCs w:val="24"/>
          <w:shd w:val="clear" w:color="auto" w:fill="FFFFFF"/>
        </w:rPr>
        <w:t>Enanoria</w:t>
      </w:r>
      <w:proofErr w:type="spellEnd"/>
      <w:r w:rsidRPr="007A449E">
        <w:rPr>
          <w:rFonts w:cs="Times New Roman"/>
          <w:color w:val="222222"/>
          <w:szCs w:val="24"/>
          <w:shd w:val="clear" w:color="auto" w:fill="FFFFFF"/>
        </w:rPr>
        <w:t xml:space="preserve">, W., Haller, L., &amp; </w:t>
      </w:r>
      <w:proofErr w:type="spellStart"/>
      <w:r w:rsidRPr="007A449E">
        <w:rPr>
          <w:rFonts w:cs="Times New Roman"/>
          <w:color w:val="222222"/>
          <w:szCs w:val="24"/>
          <w:shd w:val="clear" w:color="auto" w:fill="FFFFFF"/>
        </w:rPr>
        <w:t>Colford</w:t>
      </w:r>
      <w:proofErr w:type="spellEnd"/>
      <w:r w:rsidRPr="007A449E">
        <w:rPr>
          <w:rFonts w:cs="Times New Roman"/>
          <w:color w:val="222222"/>
          <w:szCs w:val="24"/>
          <w:shd w:val="clear" w:color="auto" w:fill="FFFFFF"/>
        </w:rPr>
        <w:t xml:space="preserve">, J. M. (2005). Water, sanitation, and hygiene interventions to reduce </w:t>
      </w:r>
      <w:proofErr w:type="spellStart"/>
      <w:r w:rsidRPr="007A449E">
        <w:rPr>
          <w:rFonts w:cs="Times New Roman"/>
          <w:color w:val="222222"/>
          <w:szCs w:val="24"/>
          <w:shd w:val="clear" w:color="auto" w:fill="FFFFFF"/>
        </w:rPr>
        <w:t>diarrhoea</w:t>
      </w:r>
      <w:proofErr w:type="spellEnd"/>
      <w:r w:rsidRPr="007A449E">
        <w:rPr>
          <w:rFonts w:cs="Times New Roman"/>
          <w:color w:val="222222"/>
          <w:szCs w:val="24"/>
          <w:shd w:val="clear" w:color="auto" w:fill="FFFFFF"/>
        </w:rPr>
        <w:t xml:space="preserve"> in less developed countries: a systematic review and meta-analysis. </w:t>
      </w:r>
      <w:r w:rsidRPr="007A449E">
        <w:rPr>
          <w:rFonts w:cs="Times New Roman"/>
          <w:i/>
          <w:iCs/>
          <w:color w:val="222222"/>
          <w:szCs w:val="24"/>
          <w:shd w:val="clear" w:color="auto" w:fill="FFFFFF"/>
        </w:rPr>
        <w:t>The Lancet infectious diseases</w:t>
      </w:r>
      <w:r w:rsidRPr="007A449E">
        <w:rPr>
          <w:rFonts w:cs="Times New Roman"/>
          <w:color w:val="222222"/>
          <w:szCs w:val="24"/>
          <w:shd w:val="clear" w:color="auto" w:fill="FFFFFF"/>
        </w:rPr>
        <w:t>, </w:t>
      </w:r>
      <w:r w:rsidRPr="007A449E">
        <w:rPr>
          <w:rFonts w:cs="Times New Roman"/>
          <w:i/>
          <w:iCs/>
          <w:color w:val="222222"/>
          <w:szCs w:val="24"/>
          <w:shd w:val="clear" w:color="auto" w:fill="FFFFFF"/>
        </w:rPr>
        <w:t>5</w:t>
      </w:r>
      <w:r w:rsidRPr="007A449E">
        <w:rPr>
          <w:rFonts w:cs="Times New Roman"/>
          <w:color w:val="222222"/>
          <w:szCs w:val="24"/>
          <w:shd w:val="clear" w:color="auto" w:fill="FFFFFF"/>
        </w:rPr>
        <w:t>(1), 42-52.</w:t>
      </w:r>
    </w:p>
    <w:p w14:paraId="2B23F9C7" w14:textId="77777777" w:rsidR="000D3EF5" w:rsidRPr="007A449E" w:rsidRDefault="000D3EF5" w:rsidP="000D3EF5">
      <w:pPr>
        <w:spacing w:after="0"/>
        <w:ind w:left="720"/>
        <w:jc w:val="both"/>
        <w:rPr>
          <w:rFonts w:cs="Times New Roman"/>
          <w:color w:val="000000"/>
          <w:szCs w:val="24"/>
        </w:rPr>
      </w:pPr>
    </w:p>
    <w:p w14:paraId="1E320FAD" w14:textId="77777777" w:rsidR="000D3EF5" w:rsidRPr="007A449E" w:rsidRDefault="000D3EF5" w:rsidP="000D3EF5">
      <w:pPr>
        <w:spacing w:after="0"/>
        <w:ind w:firstLine="360"/>
        <w:jc w:val="both"/>
        <w:rPr>
          <w:rFonts w:cs="Times New Roman"/>
          <w:b/>
          <w:bCs/>
          <w:color w:val="000000"/>
          <w:szCs w:val="24"/>
        </w:rPr>
      </w:pPr>
    </w:p>
    <w:p w14:paraId="01902529" w14:textId="77777777" w:rsidR="000D3EF5" w:rsidRPr="007A449E" w:rsidRDefault="000D3EF5" w:rsidP="000D3EF5">
      <w:pPr>
        <w:spacing w:after="0"/>
        <w:ind w:firstLine="360"/>
        <w:jc w:val="both"/>
        <w:rPr>
          <w:rFonts w:cs="Times New Roman"/>
          <w:color w:val="000000"/>
          <w:szCs w:val="24"/>
          <w:u w:val="single"/>
        </w:rPr>
      </w:pPr>
      <w:r w:rsidRPr="007A449E">
        <w:rPr>
          <w:rFonts w:cs="Times New Roman"/>
          <w:b/>
          <w:bCs/>
          <w:color w:val="000000"/>
          <w:szCs w:val="24"/>
        </w:rPr>
        <w:t>Recommended Reference Materials</w:t>
      </w:r>
    </w:p>
    <w:p w14:paraId="11EE4A0C" w14:textId="77777777" w:rsidR="000D3EF5" w:rsidRPr="007A449E" w:rsidRDefault="000D3EF5" w:rsidP="000D3EF5">
      <w:pPr>
        <w:numPr>
          <w:ilvl w:val="0"/>
          <w:numId w:val="2"/>
        </w:numPr>
        <w:spacing w:after="0" w:line="300" w:lineRule="auto"/>
        <w:jc w:val="both"/>
        <w:rPr>
          <w:rFonts w:cs="Times New Roman"/>
          <w:color w:val="000000"/>
          <w:szCs w:val="24"/>
        </w:rPr>
      </w:pPr>
      <w:r w:rsidRPr="007A449E">
        <w:rPr>
          <w:rFonts w:cs="Times New Roman"/>
          <w:color w:val="222222"/>
          <w:szCs w:val="24"/>
          <w:shd w:val="clear" w:color="auto" w:fill="FFFFFF"/>
        </w:rPr>
        <w:t xml:space="preserve">Curtis, V., &amp; </w:t>
      </w:r>
      <w:proofErr w:type="spellStart"/>
      <w:r w:rsidRPr="007A449E">
        <w:rPr>
          <w:rFonts w:cs="Times New Roman"/>
          <w:color w:val="222222"/>
          <w:szCs w:val="24"/>
          <w:shd w:val="clear" w:color="auto" w:fill="FFFFFF"/>
        </w:rPr>
        <w:t>Cairncross</w:t>
      </w:r>
      <w:proofErr w:type="spellEnd"/>
      <w:r w:rsidRPr="007A449E">
        <w:rPr>
          <w:rFonts w:cs="Times New Roman"/>
          <w:color w:val="222222"/>
          <w:szCs w:val="24"/>
          <w:shd w:val="clear" w:color="auto" w:fill="FFFFFF"/>
        </w:rPr>
        <w:t xml:space="preserve">, S. (2003). Effect of washing hands with soap on </w:t>
      </w:r>
      <w:proofErr w:type="spellStart"/>
      <w:r w:rsidRPr="007A449E">
        <w:rPr>
          <w:rFonts w:cs="Times New Roman"/>
          <w:color w:val="222222"/>
          <w:szCs w:val="24"/>
          <w:shd w:val="clear" w:color="auto" w:fill="FFFFFF"/>
        </w:rPr>
        <w:t>diarrhoea</w:t>
      </w:r>
      <w:proofErr w:type="spellEnd"/>
      <w:r w:rsidRPr="007A449E">
        <w:rPr>
          <w:rFonts w:cs="Times New Roman"/>
          <w:color w:val="222222"/>
          <w:szCs w:val="24"/>
          <w:shd w:val="clear" w:color="auto" w:fill="FFFFFF"/>
        </w:rPr>
        <w:t xml:space="preserve"> risk in the community: a systematic review. </w:t>
      </w:r>
      <w:r w:rsidRPr="007A449E">
        <w:rPr>
          <w:rFonts w:cs="Times New Roman"/>
          <w:i/>
          <w:iCs/>
          <w:color w:val="222222"/>
          <w:szCs w:val="24"/>
          <w:shd w:val="clear" w:color="auto" w:fill="FFFFFF"/>
        </w:rPr>
        <w:t>The Lancet infectious diseases</w:t>
      </w:r>
      <w:r w:rsidRPr="007A449E">
        <w:rPr>
          <w:rFonts w:cs="Times New Roman"/>
          <w:color w:val="222222"/>
          <w:szCs w:val="24"/>
          <w:shd w:val="clear" w:color="auto" w:fill="FFFFFF"/>
        </w:rPr>
        <w:t>, </w:t>
      </w:r>
      <w:r w:rsidRPr="007A449E">
        <w:rPr>
          <w:rFonts w:cs="Times New Roman"/>
          <w:i/>
          <w:iCs/>
          <w:color w:val="222222"/>
          <w:szCs w:val="24"/>
          <w:shd w:val="clear" w:color="auto" w:fill="FFFFFF"/>
        </w:rPr>
        <w:t>3</w:t>
      </w:r>
      <w:r w:rsidRPr="007A449E">
        <w:rPr>
          <w:rFonts w:cs="Times New Roman"/>
          <w:color w:val="222222"/>
          <w:szCs w:val="24"/>
          <w:shd w:val="clear" w:color="auto" w:fill="FFFFFF"/>
        </w:rPr>
        <w:t>(5), 275-281.</w:t>
      </w:r>
    </w:p>
    <w:p w14:paraId="7D9B7204" w14:textId="77777777" w:rsidR="000D3EF5" w:rsidRPr="007A449E" w:rsidRDefault="000D3EF5" w:rsidP="000D3EF5">
      <w:pPr>
        <w:numPr>
          <w:ilvl w:val="0"/>
          <w:numId w:val="2"/>
        </w:numPr>
        <w:spacing w:after="0" w:line="300" w:lineRule="auto"/>
        <w:jc w:val="both"/>
        <w:rPr>
          <w:rFonts w:cs="Times New Roman"/>
          <w:color w:val="000000"/>
          <w:szCs w:val="24"/>
        </w:rPr>
      </w:pPr>
      <w:r w:rsidRPr="007A449E">
        <w:rPr>
          <w:rFonts w:cs="Times New Roman"/>
          <w:color w:val="222222"/>
          <w:szCs w:val="24"/>
          <w:shd w:val="clear" w:color="auto" w:fill="FFFFFF"/>
        </w:rPr>
        <w:t xml:space="preserve">Watson, J. A., </w:t>
      </w:r>
      <w:proofErr w:type="spellStart"/>
      <w:r w:rsidRPr="007A449E">
        <w:rPr>
          <w:rFonts w:cs="Times New Roman"/>
          <w:color w:val="222222"/>
          <w:szCs w:val="24"/>
          <w:shd w:val="clear" w:color="auto" w:fill="FFFFFF"/>
        </w:rPr>
        <w:t>Ensink</w:t>
      </w:r>
      <w:proofErr w:type="spellEnd"/>
      <w:r w:rsidRPr="007A449E">
        <w:rPr>
          <w:rFonts w:cs="Times New Roman"/>
          <w:color w:val="222222"/>
          <w:szCs w:val="24"/>
          <w:shd w:val="clear" w:color="auto" w:fill="FFFFFF"/>
        </w:rPr>
        <w:t xml:space="preserve">, J. H., Ramos, M., Benelli, P., Holdsworth, E., </w:t>
      </w:r>
      <w:proofErr w:type="spellStart"/>
      <w:r w:rsidRPr="007A449E">
        <w:rPr>
          <w:rFonts w:cs="Times New Roman"/>
          <w:color w:val="222222"/>
          <w:szCs w:val="24"/>
          <w:shd w:val="clear" w:color="auto" w:fill="FFFFFF"/>
        </w:rPr>
        <w:t>Dreibelbis</w:t>
      </w:r>
      <w:proofErr w:type="spellEnd"/>
      <w:r w:rsidRPr="007A449E">
        <w:rPr>
          <w:rFonts w:cs="Times New Roman"/>
          <w:color w:val="222222"/>
          <w:szCs w:val="24"/>
          <w:shd w:val="clear" w:color="auto" w:fill="FFFFFF"/>
        </w:rPr>
        <w:t xml:space="preserve">, R., &amp; Cumming, O. (2017). Does targeting children with hygiene promotion messages work? The effect of handwashing promotion targeted at children, on </w:t>
      </w:r>
      <w:proofErr w:type="spellStart"/>
      <w:r w:rsidRPr="007A449E">
        <w:rPr>
          <w:rFonts w:cs="Times New Roman"/>
          <w:color w:val="222222"/>
          <w:szCs w:val="24"/>
          <w:shd w:val="clear" w:color="auto" w:fill="FFFFFF"/>
        </w:rPr>
        <w:t>diarrhoea</w:t>
      </w:r>
      <w:proofErr w:type="spellEnd"/>
      <w:r w:rsidRPr="007A449E">
        <w:rPr>
          <w:rFonts w:cs="Times New Roman"/>
          <w:color w:val="222222"/>
          <w:szCs w:val="24"/>
          <w:shd w:val="clear" w:color="auto" w:fill="FFFFFF"/>
        </w:rPr>
        <w:t xml:space="preserve">, soil‐transmitted helminth infections and </w:t>
      </w:r>
      <w:proofErr w:type="spellStart"/>
      <w:r w:rsidRPr="007A449E">
        <w:rPr>
          <w:rFonts w:cs="Times New Roman"/>
          <w:color w:val="222222"/>
          <w:szCs w:val="24"/>
          <w:shd w:val="clear" w:color="auto" w:fill="FFFFFF"/>
        </w:rPr>
        <w:t>behaviour</w:t>
      </w:r>
      <w:proofErr w:type="spellEnd"/>
      <w:r w:rsidRPr="007A449E">
        <w:rPr>
          <w:rFonts w:cs="Times New Roman"/>
          <w:color w:val="222222"/>
          <w:szCs w:val="24"/>
          <w:shd w:val="clear" w:color="auto" w:fill="FFFFFF"/>
        </w:rPr>
        <w:t xml:space="preserve"> change, in low‐and middle‐income countries. </w:t>
      </w:r>
      <w:r w:rsidRPr="007A449E">
        <w:rPr>
          <w:rFonts w:cs="Times New Roman"/>
          <w:i/>
          <w:iCs/>
          <w:color w:val="222222"/>
          <w:szCs w:val="24"/>
          <w:shd w:val="clear" w:color="auto" w:fill="FFFFFF"/>
        </w:rPr>
        <w:t>Tropical medicine &amp; international health</w:t>
      </w:r>
      <w:r w:rsidRPr="007A449E">
        <w:rPr>
          <w:rFonts w:cs="Times New Roman"/>
          <w:color w:val="222222"/>
          <w:szCs w:val="24"/>
          <w:shd w:val="clear" w:color="auto" w:fill="FFFFFF"/>
        </w:rPr>
        <w:t>, </w:t>
      </w:r>
      <w:r w:rsidRPr="007A449E">
        <w:rPr>
          <w:rFonts w:cs="Times New Roman"/>
          <w:i/>
          <w:iCs/>
          <w:color w:val="222222"/>
          <w:szCs w:val="24"/>
          <w:shd w:val="clear" w:color="auto" w:fill="FFFFFF"/>
        </w:rPr>
        <w:t>22</w:t>
      </w:r>
      <w:r w:rsidRPr="007A449E">
        <w:rPr>
          <w:rFonts w:cs="Times New Roman"/>
          <w:color w:val="222222"/>
          <w:szCs w:val="24"/>
          <w:shd w:val="clear" w:color="auto" w:fill="FFFFFF"/>
        </w:rPr>
        <w:t>(5), 526-538.</w:t>
      </w:r>
    </w:p>
    <w:p w14:paraId="4F720FFB" w14:textId="77777777" w:rsidR="000D3EF5" w:rsidRPr="007A449E" w:rsidRDefault="000D3EF5" w:rsidP="000D3EF5">
      <w:pPr>
        <w:numPr>
          <w:ilvl w:val="0"/>
          <w:numId w:val="2"/>
        </w:numPr>
        <w:spacing w:after="0" w:line="300" w:lineRule="auto"/>
        <w:jc w:val="both"/>
        <w:rPr>
          <w:rFonts w:cs="Times New Roman"/>
          <w:color w:val="000000"/>
          <w:szCs w:val="24"/>
        </w:rPr>
      </w:pPr>
      <w:proofErr w:type="spellStart"/>
      <w:r w:rsidRPr="007A449E">
        <w:rPr>
          <w:rFonts w:cs="Times New Roman"/>
          <w:color w:val="222222"/>
          <w:szCs w:val="24"/>
          <w:shd w:val="clear" w:color="auto" w:fill="FFFFFF"/>
        </w:rPr>
        <w:t>Branz</w:t>
      </w:r>
      <w:proofErr w:type="spellEnd"/>
      <w:r w:rsidRPr="007A449E">
        <w:rPr>
          <w:rFonts w:cs="Times New Roman"/>
          <w:color w:val="222222"/>
          <w:szCs w:val="24"/>
          <w:shd w:val="clear" w:color="auto" w:fill="FFFFFF"/>
        </w:rPr>
        <w:t xml:space="preserve">, A., Levine, M., Lehmann, L., Bastable, A., Ali, S. I., Kadir, K., ... &amp; </w:t>
      </w:r>
      <w:proofErr w:type="spellStart"/>
      <w:r w:rsidRPr="007A449E">
        <w:rPr>
          <w:rFonts w:cs="Times New Roman"/>
          <w:color w:val="222222"/>
          <w:szCs w:val="24"/>
          <w:shd w:val="clear" w:color="auto" w:fill="FFFFFF"/>
        </w:rPr>
        <w:t>Lantagne</w:t>
      </w:r>
      <w:proofErr w:type="spellEnd"/>
      <w:r w:rsidRPr="007A449E">
        <w:rPr>
          <w:rFonts w:cs="Times New Roman"/>
          <w:color w:val="222222"/>
          <w:szCs w:val="24"/>
          <w:shd w:val="clear" w:color="auto" w:fill="FFFFFF"/>
        </w:rPr>
        <w:t>, D. (2017). Chlorination of drinking water in emergencies: a review of knowledge to develop recommendations for implementation and research needed. </w:t>
      </w:r>
      <w:r w:rsidRPr="007A449E">
        <w:rPr>
          <w:rFonts w:cs="Times New Roman"/>
          <w:i/>
          <w:iCs/>
          <w:color w:val="222222"/>
          <w:szCs w:val="24"/>
          <w:shd w:val="clear" w:color="auto" w:fill="FFFFFF"/>
        </w:rPr>
        <w:t>Waterlines</w:t>
      </w:r>
      <w:r w:rsidRPr="007A449E">
        <w:rPr>
          <w:rFonts w:cs="Times New Roman"/>
          <w:color w:val="222222"/>
          <w:szCs w:val="24"/>
          <w:shd w:val="clear" w:color="auto" w:fill="FFFFFF"/>
        </w:rPr>
        <w:t>, 4-39.</w:t>
      </w:r>
    </w:p>
    <w:p w14:paraId="65DBF077" w14:textId="77777777" w:rsidR="000D3EF5" w:rsidRPr="007A449E" w:rsidRDefault="000D3EF5" w:rsidP="000D3EF5">
      <w:pPr>
        <w:numPr>
          <w:ilvl w:val="0"/>
          <w:numId w:val="2"/>
        </w:numPr>
        <w:spacing w:after="0" w:line="300" w:lineRule="auto"/>
        <w:jc w:val="both"/>
        <w:rPr>
          <w:rFonts w:cs="Times New Roman"/>
          <w:color w:val="000000"/>
          <w:szCs w:val="24"/>
        </w:rPr>
      </w:pPr>
      <w:r w:rsidRPr="007A449E">
        <w:rPr>
          <w:rFonts w:cs="Times New Roman"/>
          <w:color w:val="222222"/>
          <w:szCs w:val="24"/>
          <w:shd w:val="clear" w:color="auto" w:fill="FFFFFF"/>
        </w:rPr>
        <w:t>World Health Organization. (2016). </w:t>
      </w:r>
      <w:r w:rsidRPr="007A449E">
        <w:rPr>
          <w:rFonts w:cs="Times New Roman"/>
          <w:i/>
          <w:iCs/>
          <w:color w:val="222222"/>
          <w:szCs w:val="24"/>
          <w:shd w:val="clear" w:color="auto" w:fill="FFFFFF"/>
        </w:rPr>
        <w:t xml:space="preserve">Guidelines on core components of infection prevention and control </w:t>
      </w:r>
      <w:proofErr w:type="spellStart"/>
      <w:r w:rsidRPr="007A449E">
        <w:rPr>
          <w:rFonts w:cs="Times New Roman"/>
          <w:i/>
          <w:iCs/>
          <w:color w:val="222222"/>
          <w:szCs w:val="24"/>
          <w:shd w:val="clear" w:color="auto" w:fill="FFFFFF"/>
        </w:rPr>
        <w:t>programmes</w:t>
      </w:r>
      <w:proofErr w:type="spellEnd"/>
      <w:r w:rsidRPr="007A449E">
        <w:rPr>
          <w:rFonts w:cs="Times New Roman"/>
          <w:i/>
          <w:iCs/>
          <w:color w:val="222222"/>
          <w:szCs w:val="24"/>
          <w:shd w:val="clear" w:color="auto" w:fill="FFFFFF"/>
        </w:rPr>
        <w:t xml:space="preserve"> at the national and acute health care facility level</w:t>
      </w:r>
      <w:r w:rsidRPr="007A449E">
        <w:rPr>
          <w:rFonts w:cs="Times New Roman"/>
          <w:color w:val="222222"/>
          <w:szCs w:val="24"/>
          <w:shd w:val="clear" w:color="auto" w:fill="FFFFFF"/>
        </w:rPr>
        <w:t>. World Health Organization.</w:t>
      </w:r>
    </w:p>
    <w:p w14:paraId="41A4EEBB" w14:textId="77777777" w:rsidR="000D3EF5" w:rsidRPr="007A449E" w:rsidRDefault="000D3EF5" w:rsidP="000D3EF5">
      <w:pPr>
        <w:numPr>
          <w:ilvl w:val="0"/>
          <w:numId w:val="2"/>
        </w:numPr>
        <w:spacing w:after="0" w:line="300" w:lineRule="auto"/>
        <w:contextualSpacing/>
        <w:jc w:val="both"/>
        <w:rPr>
          <w:rFonts w:cs="Times New Roman"/>
          <w:color w:val="000000"/>
          <w:szCs w:val="24"/>
        </w:rPr>
      </w:pPr>
      <w:r w:rsidRPr="007A449E">
        <w:rPr>
          <w:rFonts w:cs="Times New Roman"/>
          <w:color w:val="222222"/>
          <w:szCs w:val="24"/>
          <w:shd w:val="clear" w:color="auto" w:fill="FFFFFF"/>
        </w:rPr>
        <w:t>World Health Organization, International Pharmaceutical Association, &amp; International Solid Waste Association. (1999). </w:t>
      </w:r>
      <w:r w:rsidRPr="007A449E">
        <w:rPr>
          <w:rFonts w:cs="Times New Roman"/>
          <w:i/>
          <w:iCs/>
          <w:color w:val="222222"/>
          <w:szCs w:val="24"/>
          <w:shd w:val="clear" w:color="auto" w:fill="FFFFFF"/>
        </w:rPr>
        <w:t>Guidelines for safe disposal of unwanted pharmaceuticals in and after emergencies</w:t>
      </w:r>
      <w:r w:rsidRPr="007A449E">
        <w:rPr>
          <w:rFonts w:cs="Times New Roman"/>
          <w:color w:val="222222"/>
          <w:szCs w:val="24"/>
          <w:shd w:val="clear" w:color="auto" w:fill="FFFFFF"/>
        </w:rPr>
        <w:t> (No. WHO/EDM/PAR/99.2). World Health Organization.</w:t>
      </w:r>
    </w:p>
    <w:p w14:paraId="6F674C2E" w14:textId="77777777" w:rsidR="000D3EF5" w:rsidRPr="007A449E" w:rsidRDefault="000D3EF5" w:rsidP="000D3EF5">
      <w:pPr>
        <w:numPr>
          <w:ilvl w:val="0"/>
          <w:numId w:val="2"/>
        </w:numPr>
        <w:spacing w:after="0" w:line="300" w:lineRule="auto"/>
        <w:contextualSpacing/>
        <w:jc w:val="both"/>
        <w:rPr>
          <w:rFonts w:cs="Times New Roman"/>
          <w:color w:val="000000"/>
          <w:szCs w:val="24"/>
        </w:rPr>
      </w:pPr>
      <w:r w:rsidRPr="007A449E">
        <w:rPr>
          <w:rFonts w:cs="Times New Roman"/>
          <w:color w:val="222222"/>
          <w:szCs w:val="24"/>
          <w:shd w:val="clear" w:color="auto" w:fill="FFFFFF"/>
        </w:rPr>
        <w:lastRenderedPageBreak/>
        <w:t xml:space="preserve">World Health Organization. (2020). Global progress report on water, sanitation and hygiene in health care facilities: Fundamentals first.  </w:t>
      </w:r>
    </w:p>
    <w:p w14:paraId="68E26F27" w14:textId="77777777" w:rsidR="000D3EF5" w:rsidRPr="007A449E" w:rsidRDefault="000D3EF5" w:rsidP="000D3EF5">
      <w:pPr>
        <w:numPr>
          <w:ilvl w:val="0"/>
          <w:numId w:val="3"/>
        </w:numPr>
        <w:spacing w:after="0" w:line="300" w:lineRule="auto"/>
        <w:jc w:val="both"/>
        <w:rPr>
          <w:rFonts w:cs="Times New Roman"/>
          <w:color w:val="000000"/>
          <w:szCs w:val="24"/>
          <w:u w:val="single"/>
        </w:rPr>
      </w:pPr>
      <w:r w:rsidRPr="007A449E">
        <w:rPr>
          <w:rFonts w:cs="Times New Roman"/>
          <w:color w:val="222222"/>
          <w:szCs w:val="24"/>
          <w:shd w:val="clear" w:color="auto" w:fill="FFFFFF"/>
        </w:rPr>
        <w:t xml:space="preserve">Coughlin, L. L., </w:t>
      </w:r>
      <w:proofErr w:type="spellStart"/>
      <w:r w:rsidRPr="007A449E">
        <w:rPr>
          <w:rFonts w:cs="Times New Roman"/>
          <w:color w:val="222222"/>
          <w:szCs w:val="24"/>
          <w:shd w:val="clear" w:color="auto" w:fill="FFFFFF"/>
        </w:rPr>
        <w:t>Schurer</w:t>
      </w:r>
      <w:proofErr w:type="spellEnd"/>
      <w:r w:rsidRPr="007A449E">
        <w:rPr>
          <w:rFonts w:cs="Times New Roman"/>
          <w:color w:val="222222"/>
          <w:szCs w:val="24"/>
          <w:shd w:val="clear" w:color="auto" w:fill="FFFFFF"/>
        </w:rPr>
        <w:t xml:space="preserve">, J. M., </w:t>
      </w:r>
      <w:proofErr w:type="spellStart"/>
      <w:r w:rsidRPr="007A449E">
        <w:rPr>
          <w:rFonts w:cs="Times New Roman"/>
          <w:color w:val="222222"/>
          <w:szCs w:val="24"/>
          <w:shd w:val="clear" w:color="auto" w:fill="FFFFFF"/>
        </w:rPr>
        <w:t>Umubyeyi</w:t>
      </w:r>
      <w:proofErr w:type="spellEnd"/>
      <w:r w:rsidRPr="007A449E">
        <w:rPr>
          <w:rFonts w:cs="Times New Roman"/>
          <w:color w:val="222222"/>
          <w:szCs w:val="24"/>
          <w:shd w:val="clear" w:color="auto" w:fill="FFFFFF"/>
        </w:rPr>
        <w:t xml:space="preserve">, C., </w:t>
      </w:r>
      <w:proofErr w:type="spellStart"/>
      <w:r w:rsidRPr="007A449E">
        <w:rPr>
          <w:rFonts w:cs="Times New Roman"/>
          <w:color w:val="222222"/>
          <w:szCs w:val="24"/>
          <w:shd w:val="clear" w:color="auto" w:fill="FFFFFF"/>
        </w:rPr>
        <w:t>Sijenyi</w:t>
      </w:r>
      <w:proofErr w:type="spellEnd"/>
      <w:r w:rsidRPr="007A449E">
        <w:rPr>
          <w:rFonts w:cs="Times New Roman"/>
          <w:color w:val="222222"/>
          <w:szCs w:val="24"/>
          <w:shd w:val="clear" w:color="auto" w:fill="FFFFFF"/>
        </w:rPr>
        <w:t xml:space="preserve">, S., </w:t>
      </w:r>
      <w:proofErr w:type="spellStart"/>
      <w:r w:rsidRPr="007A449E">
        <w:rPr>
          <w:rFonts w:cs="Times New Roman"/>
          <w:color w:val="222222"/>
          <w:szCs w:val="24"/>
          <w:shd w:val="clear" w:color="auto" w:fill="FFFFFF"/>
        </w:rPr>
        <w:t>Arif</w:t>
      </w:r>
      <w:proofErr w:type="spellEnd"/>
      <w:r w:rsidRPr="007A449E">
        <w:rPr>
          <w:rFonts w:cs="Times New Roman"/>
          <w:color w:val="222222"/>
          <w:szCs w:val="24"/>
          <w:shd w:val="clear" w:color="auto" w:fill="FFFFFF"/>
        </w:rPr>
        <w:t xml:space="preserve">, K., </w:t>
      </w:r>
      <w:proofErr w:type="spellStart"/>
      <w:r w:rsidRPr="007A449E">
        <w:rPr>
          <w:rFonts w:cs="Times New Roman"/>
          <w:color w:val="222222"/>
          <w:szCs w:val="24"/>
          <w:shd w:val="clear" w:color="auto" w:fill="FFFFFF"/>
        </w:rPr>
        <w:t>Niyonkuru</w:t>
      </w:r>
      <w:proofErr w:type="spellEnd"/>
      <w:r w:rsidRPr="007A449E">
        <w:rPr>
          <w:rFonts w:cs="Times New Roman"/>
          <w:color w:val="222222"/>
          <w:szCs w:val="24"/>
          <w:shd w:val="clear" w:color="auto" w:fill="FFFFFF"/>
        </w:rPr>
        <w:t xml:space="preserve">, V. U., ... &amp; </w:t>
      </w:r>
      <w:proofErr w:type="spellStart"/>
      <w:r w:rsidRPr="007A449E">
        <w:rPr>
          <w:rFonts w:cs="Times New Roman"/>
          <w:color w:val="222222"/>
          <w:szCs w:val="24"/>
          <w:shd w:val="clear" w:color="auto" w:fill="FFFFFF"/>
        </w:rPr>
        <w:t>Amuguni</w:t>
      </w:r>
      <w:proofErr w:type="spellEnd"/>
      <w:r w:rsidRPr="007A449E">
        <w:rPr>
          <w:rFonts w:cs="Times New Roman"/>
          <w:color w:val="222222"/>
          <w:szCs w:val="24"/>
          <w:shd w:val="clear" w:color="auto" w:fill="FFFFFF"/>
        </w:rPr>
        <w:t xml:space="preserve">, H. J. (2022). A one health evaluation of water, sanitation, and hygiene (WASH) services in </w:t>
      </w:r>
      <w:proofErr w:type="spellStart"/>
      <w:r w:rsidRPr="007A449E">
        <w:rPr>
          <w:rFonts w:cs="Times New Roman"/>
          <w:color w:val="222222"/>
          <w:szCs w:val="24"/>
          <w:shd w:val="clear" w:color="auto" w:fill="FFFFFF"/>
        </w:rPr>
        <w:t>Butaro</w:t>
      </w:r>
      <w:proofErr w:type="spellEnd"/>
      <w:r w:rsidRPr="007A449E">
        <w:rPr>
          <w:rFonts w:cs="Times New Roman"/>
          <w:color w:val="222222"/>
          <w:szCs w:val="24"/>
          <w:shd w:val="clear" w:color="auto" w:fill="FFFFFF"/>
        </w:rPr>
        <w:t xml:space="preserve"> Sector, Rwanda. </w:t>
      </w:r>
      <w:r w:rsidRPr="007A449E">
        <w:rPr>
          <w:rFonts w:cs="Times New Roman"/>
          <w:i/>
          <w:iCs/>
          <w:color w:val="222222"/>
          <w:szCs w:val="24"/>
          <w:shd w:val="clear" w:color="auto" w:fill="FFFFFF"/>
        </w:rPr>
        <w:t>Journal of Water, Sanitation and Hygiene for Development</w:t>
      </w:r>
      <w:r w:rsidRPr="007A449E">
        <w:rPr>
          <w:rFonts w:cs="Times New Roman"/>
          <w:color w:val="222222"/>
          <w:szCs w:val="24"/>
          <w:shd w:val="clear" w:color="auto" w:fill="FFFFFF"/>
        </w:rPr>
        <w:t>, </w:t>
      </w:r>
      <w:r w:rsidRPr="007A449E">
        <w:rPr>
          <w:rFonts w:cs="Times New Roman"/>
          <w:i/>
          <w:iCs/>
          <w:color w:val="222222"/>
          <w:szCs w:val="24"/>
          <w:shd w:val="clear" w:color="auto" w:fill="FFFFFF"/>
        </w:rPr>
        <w:t>12</w:t>
      </w:r>
      <w:r w:rsidRPr="007A449E">
        <w:rPr>
          <w:rFonts w:cs="Times New Roman"/>
          <w:color w:val="222222"/>
          <w:szCs w:val="24"/>
          <w:shd w:val="clear" w:color="auto" w:fill="FFFFFF"/>
        </w:rPr>
        <w:t xml:space="preserve">(3), 286-301. </w:t>
      </w:r>
    </w:p>
    <w:p w14:paraId="51CF217B" w14:textId="77777777" w:rsidR="000D3EF5" w:rsidRPr="007A449E" w:rsidRDefault="000D3EF5" w:rsidP="000D3EF5">
      <w:pPr>
        <w:pStyle w:val="Bibliography"/>
        <w:numPr>
          <w:ilvl w:val="0"/>
          <w:numId w:val="3"/>
        </w:numPr>
        <w:spacing w:line="300" w:lineRule="auto"/>
        <w:jc w:val="both"/>
        <w:rPr>
          <w:rFonts w:cs="Times New Roman"/>
          <w:noProof/>
          <w:szCs w:val="24"/>
        </w:rPr>
      </w:pPr>
      <w:r w:rsidRPr="007A449E">
        <w:rPr>
          <w:rFonts w:cs="Times New Roman"/>
          <w:noProof/>
          <w:szCs w:val="24"/>
        </w:rPr>
        <w:t>USAID. (2018, October). Multisectoral Coordination That Works: Building Effective, Sustainable Mechanisms to Prevent,Detect, and Respond to Public Health Threats. Retrieved from https://assetify-dai.com/resource-library/pandr-multisectoral-coordination.pdf</w:t>
      </w:r>
    </w:p>
    <w:p w14:paraId="0B9CB355" w14:textId="77777777" w:rsidR="004B2B29" w:rsidRDefault="004B2B29"/>
    <w:sectPr w:rsidR="004B2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90755"/>
    <w:multiLevelType w:val="hybridMultilevel"/>
    <w:tmpl w:val="E0688686"/>
    <w:lvl w:ilvl="0" w:tplc="E0A22C2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282BD3"/>
    <w:multiLevelType w:val="hybridMultilevel"/>
    <w:tmpl w:val="714CD70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30C014C"/>
    <w:multiLevelType w:val="hybridMultilevel"/>
    <w:tmpl w:val="714CD70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EF5"/>
    <w:rsid w:val="000D3EF5"/>
    <w:rsid w:val="004B2B29"/>
    <w:rsid w:val="00C55B5E"/>
    <w:rsid w:val="00DA3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60F16"/>
  <w15:chartTrackingRefBased/>
  <w15:docId w15:val="{212F4A7D-5A0C-45FE-AEC2-E916E4C41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EF5"/>
    <w:pPr>
      <w:spacing w:after="200" w:line="276" w:lineRule="auto"/>
    </w:pPr>
    <w:rPr>
      <w:rFonts w:ascii="Times New Roman" w:eastAsia="Calibri" w:hAnsi="Times New Roman" w:cs="Tunga"/>
      <w:sz w:val="24"/>
    </w:rPr>
  </w:style>
  <w:style w:type="paragraph" w:styleId="Heading1">
    <w:name w:val="heading 1"/>
    <w:basedOn w:val="Normal"/>
    <w:next w:val="Normal"/>
    <w:link w:val="Heading1Char"/>
    <w:uiPriority w:val="9"/>
    <w:qFormat/>
    <w:rsid w:val="00DA3EC6"/>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qFormat/>
    <w:rsid w:val="00C55B5E"/>
    <w:pPr>
      <w:keepNext/>
      <w:keepLines/>
      <w:spacing w:before="40" w:after="0" w:line="240" w:lineRule="auto"/>
      <w:outlineLvl w:val="1"/>
    </w:pPr>
    <w:rPr>
      <w:b/>
      <w:color w:val="000000" w:themeColor="text1"/>
      <w:sz w:val="26"/>
      <w:szCs w:val="26"/>
    </w:rPr>
  </w:style>
  <w:style w:type="paragraph" w:styleId="Heading4">
    <w:name w:val="heading 4"/>
    <w:basedOn w:val="Normal"/>
    <w:next w:val="Normal"/>
    <w:link w:val="Heading4Char"/>
    <w:uiPriority w:val="9"/>
    <w:semiHidden/>
    <w:unhideWhenUsed/>
    <w:qFormat/>
    <w:rsid w:val="00DA3EC6"/>
    <w:pPr>
      <w:keepNext/>
      <w:keepLines/>
      <w:spacing w:before="40" w:after="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link w:val="Style2Char"/>
    <w:autoRedefine/>
    <w:qFormat/>
    <w:rsid w:val="00DA3EC6"/>
  </w:style>
  <w:style w:type="character" w:customStyle="1" w:styleId="Style2Char">
    <w:name w:val="Style2 Char"/>
    <w:basedOn w:val="Heading1Char"/>
    <w:link w:val="Style2"/>
    <w:rsid w:val="00DA3EC6"/>
    <w:rPr>
      <w:rFonts w:asciiTheme="majorHAnsi" w:eastAsiaTheme="majorEastAsia" w:hAnsiTheme="majorHAnsi" w:cstheme="majorBidi"/>
      <w:color w:val="000000" w:themeColor="text1"/>
      <w:sz w:val="32"/>
      <w:szCs w:val="32"/>
    </w:rPr>
  </w:style>
  <w:style w:type="character" w:customStyle="1" w:styleId="Heading1Char">
    <w:name w:val="Heading 1 Char"/>
    <w:basedOn w:val="DefaultParagraphFont"/>
    <w:link w:val="Heading1"/>
    <w:uiPriority w:val="9"/>
    <w:rsid w:val="00DA3EC6"/>
    <w:rPr>
      <w:rFonts w:asciiTheme="majorHAnsi" w:eastAsiaTheme="majorEastAsia" w:hAnsiTheme="majorHAnsi" w:cstheme="majorBidi"/>
      <w:color w:val="000000" w:themeColor="text1"/>
      <w:sz w:val="32"/>
      <w:szCs w:val="32"/>
    </w:rPr>
  </w:style>
  <w:style w:type="paragraph" w:customStyle="1" w:styleId="Style3">
    <w:name w:val="Style3"/>
    <w:basedOn w:val="Heading1"/>
    <w:link w:val="Style3Char"/>
    <w:qFormat/>
    <w:rsid w:val="00DA3EC6"/>
  </w:style>
  <w:style w:type="character" w:customStyle="1" w:styleId="Style3Char">
    <w:name w:val="Style3 Char"/>
    <w:basedOn w:val="Heading1Char"/>
    <w:link w:val="Style3"/>
    <w:rsid w:val="00DA3EC6"/>
    <w:rPr>
      <w:rFonts w:asciiTheme="majorHAnsi" w:eastAsiaTheme="majorEastAsia" w:hAnsiTheme="majorHAnsi" w:cstheme="majorBidi"/>
      <w:color w:val="000000" w:themeColor="text1"/>
      <w:sz w:val="32"/>
      <w:szCs w:val="32"/>
    </w:rPr>
  </w:style>
  <w:style w:type="character" w:customStyle="1" w:styleId="Heading4Char">
    <w:name w:val="Heading 4 Char"/>
    <w:basedOn w:val="DefaultParagraphFont"/>
    <w:link w:val="Heading4"/>
    <w:uiPriority w:val="9"/>
    <w:semiHidden/>
    <w:rsid w:val="00DA3EC6"/>
    <w:rPr>
      <w:rFonts w:asciiTheme="majorHAnsi" w:eastAsiaTheme="majorEastAsia" w:hAnsiTheme="majorHAnsi" w:cstheme="majorBidi"/>
      <w:i/>
      <w:iCs/>
      <w:color w:val="000000" w:themeColor="text1"/>
    </w:rPr>
  </w:style>
  <w:style w:type="character" w:customStyle="1" w:styleId="Heading2Char">
    <w:name w:val="Heading 2 Char"/>
    <w:link w:val="Heading2"/>
    <w:uiPriority w:val="9"/>
    <w:rsid w:val="00C55B5E"/>
    <w:rPr>
      <w:rFonts w:ascii="Times New Roman" w:hAnsi="Times New Roman"/>
      <w:b/>
      <w:color w:val="000000" w:themeColor="text1"/>
      <w:sz w:val="26"/>
      <w:szCs w:val="26"/>
    </w:rPr>
  </w:style>
  <w:style w:type="paragraph" w:styleId="Bibliography">
    <w:name w:val="Bibliography"/>
    <w:basedOn w:val="Normal"/>
    <w:next w:val="Normal"/>
    <w:uiPriority w:val="37"/>
    <w:unhideWhenUsed/>
    <w:rsid w:val="000D3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754</Words>
  <Characters>4799</Characters>
  <Application>Microsoft Office Word</Application>
  <DocSecurity>0</DocSecurity>
  <Lines>80</Lines>
  <Paragraphs>25</Paragraphs>
  <ScaleCrop>false</ScaleCrop>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Salvias</dc:creator>
  <cp:keywords/>
  <dc:description/>
  <cp:lastModifiedBy>Salvias</cp:lastModifiedBy>
  <cp:revision>1</cp:revision>
  <dcterms:created xsi:type="dcterms:W3CDTF">2024-04-16T10:18:00Z</dcterms:created>
  <dcterms:modified xsi:type="dcterms:W3CDTF">2024-04-16T10:20:00Z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7226b40f-99f2-4537-9a51-30f674098bfb</vt:lpwstr>
  </property>
</Properties>
</file>