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ACD90" w14:textId="77777777" w:rsidR="00F06D39" w:rsidRPr="00CE3A2B" w:rsidRDefault="00F06D39" w:rsidP="00F06D39">
      <w:pPr>
        <w:pStyle w:val="Heading2"/>
      </w:pPr>
      <w:bookmarkStart w:id="0" w:name="_Toc134044878"/>
      <w:r w:rsidRPr="00716521">
        <w:t>POH 117: MENTAL HEALTH AND PANDEMICS</w:t>
      </w:r>
      <w:bookmarkEnd w:id="0"/>
      <w:r w:rsidRPr="00716521">
        <w:t xml:space="preserve"> </w:t>
      </w:r>
    </w:p>
    <w:p w14:paraId="513C194B" w14:textId="77777777" w:rsidR="00F06D39" w:rsidRDefault="00F06D39" w:rsidP="00F06D39">
      <w:pPr>
        <w:tabs>
          <w:tab w:val="left" w:pos="2415"/>
        </w:tabs>
        <w:spacing w:after="0" w:line="360" w:lineRule="auto"/>
        <w:jc w:val="both"/>
        <w:rPr>
          <w:rFonts w:cs="Times New Roman"/>
          <w:b/>
          <w:szCs w:val="24"/>
        </w:rPr>
      </w:pPr>
    </w:p>
    <w:p w14:paraId="0895F0F9" w14:textId="19619FCC" w:rsidR="00F06D39" w:rsidRPr="00A10FB9" w:rsidRDefault="00F06D39" w:rsidP="00F06D39">
      <w:pPr>
        <w:tabs>
          <w:tab w:val="left" w:pos="2415"/>
        </w:tabs>
        <w:spacing w:after="0" w:line="360" w:lineRule="auto"/>
        <w:jc w:val="both"/>
        <w:rPr>
          <w:rFonts w:cs="Times New Roman"/>
          <w:b/>
          <w:szCs w:val="24"/>
        </w:rPr>
      </w:pPr>
      <w:r>
        <w:rPr>
          <w:rFonts w:cs="Times New Roman"/>
          <w:b/>
          <w:szCs w:val="24"/>
        </w:rPr>
        <w:t xml:space="preserve">Module Overview </w:t>
      </w:r>
      <w:r w:rsidRPr="00A10FB9">
        <w:rPr>
          <w:rFonts w:cs="Times New Roman"/>
          <w:b/>
          <w:szCs w:val="24"/>
        </w:rPr>
        <w:tab/>
      </w:r>
    </w:p>
    <w:p w14:paraId="7B4A45EA" w14:textId="77777777" w:rsidR="00F06D39" w:rsidRPr="00A10FB9" w:rsidRDefault="00F06D39" w:rsidP="00F06D39">
      <w:pPr>
        <w:spacing w:after="0" w:line="360" w:lineRule="auto"/>
        <w:jc w:val="both"/>
        <w:rPr>
          <w:rFonts w:cs="Times New Roman"/>
          <w:bCs/>
          <w:iCs/>
          <w:szCs w:val="24"/>
        </w:rPr>
      </w:pPr>
      <w:r w:rsidRPr="00A10FB9">
        <w:rPr>
          <w:rFonts w:cs="Times New Roman"/>
          <w:bCs/>
          <w:iCs/>
          <w:szCs w:val="24"/>
        </w:rPr>
        <w:t>Definition of Terminologies and Concepts: mental health, stress, emotional distress, somatic symptoms, anxiety, depression, post-traumatic stress disorder, human rights violations, psychological first aid, sexual and gender-based violence.</w:t>
      </w:r>
    </w:p>
    <w:p w14:paraId="6B690A75" w14:textId="77777777" w:rsidR="00F06D39" w:rsidRPr="00A10FB9" w:rsidRDefault="00F06D39" w:rsidP="00F06D39">
      <w:pPr>
        <w:spacing w:after="0" w:line="360" w:lineRule="auto"/>
        <w:jc w:val="both"/>
        <w:rPr>
          <w:rFonts w:cs="Times New Roman"/>
          <w:bCs/>
          <w:iCs/>
          <w:szCs w:val="24"/>
        </w:rPr>
      </w:pPr>
      <w:r w:rsidRPr="00A10FB9">
        <w:rPr>
          <w:rFonts w:cs="Times New Roman"/>
          <w:bCs/>
          <w:iCs/>
          <w:szCs w:val="24"/>
        </w:rPr>
        <w:t xml:space="preserve">Stressors and Conditions that Impact Mental Health: death of loved ones, isolation, loss of employment, illness, fear, poverty, culture and myths around communicable diseases, comorbid conditions, displacement, and stigmatization. </w:t>
      </w:r>
    </w:p>
    <w:p w14:paraId="37C30C70" w14:textId="77777777" w:rsidR="00F06D39" w:rsidRPr="00A10FB9" w:rsidRDefault="00F06D39" w:rsidP="00F06D39">
      <w:pPr>
        <w:spacing w:after="0" w:line="360" w:lineRule="auto"/>
        <w:jc w:val="both"/>
        <w:rPr>
          <w:rFonts w:cs="Times New Roman"/>
          <w:bCs/>
          <w:iCs/>
          <w:szCs w:val="24"/>
        </w:rPr>
      </w:pPr>
      <w:r w:rsidRPr="00A10FB9">
        <w:rPr>
          <w:rFonts w:cs="Times New Roman"/>
          <w:bCs/>
          <w:iCs/>
          <w:szCs w:val="24"/>
        </w:rPr>
        <w:t>Populations at Risk: those with preexisting conditions, the impoverished, those with genetic predisposition, extremes of age, women, people living with disabilities (PLWD), people with drug substance abuse (DSA), those in quarantine, and the stigmatized.</w:t>
      </w:r>
    </w:p>
    <w:p w14:paraId="50C0E7BF" w14:textId="77777777" w:rsidR="00F06D39" w:rsidRPr="00A10FB9" w:rsidRDefault="00F06D39" w:rsidP="00F06D39">
      <w:pPr>
        <w:spacing w:after="0" w:line="360" w:lineRule="auto"/>
        <w:jc w:val="both"/>
        <w:rPr>
          <w:rFonts w:cs="Times New Roman"/>
          <w:bCs/>
          <w:iCs/>
          <w:szCs w:val="24"/>
        </w:rPr>
      </w:pPr>
      <w:r w:rsidRPr="00A10FB9">
        <w:rPr>
          <w:rFonts w:cs="Times New Roman"/>
          <w:bCs/>
          <w:iCs/>
          <w:szCs w:val="24"/>
        </w:rPr>
        <w:t>Tools in Diagnosis of Mental Health Problems: Depression Anxiety Stress Scale (DASS), Generalized Anxiety Disorder Screener (GAD-7), Addiction Severity Index (ASI), Post-Traumatic Stress Disorder Checklist, Behavioral Assessment Tools, Revised Children's Anxiety and Depression Scale (RCADS). SDGs</w:t>
      </w:r>
    </w:p>
    <w:p w14:paraId="13877A08" w14:textId="77777777" w:rsidR="00F06D39" w:rsidRPr="00A10FB9" w:rsidRDefault="00F06D39" w:rsidP="00F06D39">
      <w:pPr>
        <w:spacing w:after="0" w:line="360" w:lineRule="auto"/>
        <w:jc w:val="both"/>
        <w:rPr>
          <w:rFonts w:cs="Times New Roman"/>
          <w:bCs/>
          <w:iCs/>
          <w:szCs w:val="24"/>
        </w:rPr>
      </w:pPr>
      <w:r w:rsidRPr="00A10FB9">
        <w:rPr>
          <w:rFonts w:cs="Times New Roman"/>
          <w:bCs/>
          <w:iCs/>
          <w:szCs w:val="24"/>
        </w:rPr>
        <w:t>Support Tools in Managing Mental Health Conditions and Referral: psychologist, psychiatrist, medications, telehealth, government programs, support groups, employee assistance programs, alcohol and drug abuse (ADA) clinics, social protection, digital mental health tools, self-care, support of health workers, coping mechanisms.</w:t>
      </w:r>
    </w:p>
    <w:p w14:paraId="4F61511C" w14:textId="77777777" w:rsidR="00F06D39" w:rsidRPr="00A10FB9" w:rsidRDefault="00F06D39" w:rsidP="00F06D39">
      <w:pPr>
        <w:spacing w:after="0" w:line="360" w:lineRule="auto"/>
        <w:jc w:val="both"/>
        <w:rPr>
          <w:rFonts w:cs="Times New Roman"/>
          <w:bCs/>
          <w:iCs/>
          <w:szCs w:val="24"/>
        </w:rPr>
      </w:pPr>
      <w:r w:rsidRPr="00A10FB9">
        <w:rPr>
          <w:rFonts w:cs="Times New Roman"/>
          <w:bCs/>
          <w:iCs/>
          <w:szCs w:val="24"/>
        </w:rPr>
        <w:t>Psycho-social Support: normal reactions to abnormal events, five principles of psychosocial support (ensure and promote safety, calm, personal and collective efficacy, connectedness, hope), psychosocial support activities, psychological first aid (prepare, look, listen, link) including at the household level.</w:t>
      </w:r>
    </w:p>
    <w:p w14:paraId="63716E98" w14:textId="77777777" w:rsidR="00F06D39" w:rsidRDefault="00F06D39" w:rsidP="00F06D39">
      <w:pPr>
        <w:spacing w:after="0" w:line="360" w:lineRule="auto"/>
        <w:jc w:val="both"/>
        <w:rPr>
          <w:rFonts w:cs="Times New Roman"/>
          <w:bCs/>
          <w:iCs/>
          <w:sz w:val="2"/>
          <w:szCs w:val="24"/>
        </w:rPr>
      </w:pPr>
    </w:p>
    <w:p w14:paraId="11ACABBE" w14:textId="77777777" w:rsidR="00F06D39" w:rsidRDefault="00F06D39" w:rsidP="00F06D39">
      <w:pPr>
        <w:spacing w:after="0" w:line="360" w:lineRule="auto"/>
        <w:jc w:val="both"/>
        <w:rPr>
          <w:rFonts w:cs="Times New Roman"/>
          <w:bCs/>
          <w:iCs/>
          <w:sz w:val="2"/>
          <w:szCs w:val="24"/>
        </w:rPr>
      </w:pPr>
    </w:p>
    <w:p w14:paraId="2845486E" w14:textId="77777777" w:rsidR="00F06D39" w:rsidRPr="000A0C63" w:rsidRDefault="00F06D39" w:rsidP="00F06D39">
      <w:pPr>
        <w:spacing w:after="0" w:line="360" w:lineRule="auto"/>
        <w:jc w:val="both"/>
        <w:rPr>
          <w:rFonts w:cs="Times New Roman"/>
          <w:bCs/>
          <w:iCs/>
          <w:sz w:val="2"/>
          <w:szCs w:val="24"/>
        </w:rPr>
      </w:pPr>
    </w:p>
    <w:p w14:paraId="04F8647A" w14:textId="77777777" w:rsidR="00F06D39" w:rsidRPr="00A10FB9" w:rsidRDefault="00F06D39" w:rsidP="00F06D39">
      <w:pPr>
        <w:spacing w:after="0" w:line="360" w:lineRule="auto"/>
        <w:jc w:val="both"/>
        <w:rPr>
          <w:rFonts w:cs="Times New Roman"/>
          <w:b/>
          <w:bCs/>
          <w:i/>
          <w:iCs/>
          <w:szCs w:val="24"/>
        </w:rPr>
      </w:pPr>
      <w:r w:rsidRPr="00A10FB9">
        <w:rPr>
          <w:rFonts w:cs="Times New Roman"/>
          <w:b/>
          <w:bCs/>
          <w:szCs w:val="24"/>
        </w:rPr>
        <w:t xml:space="preserve">Mode of Delivery </w:t>
      </w:r>
    </w:p>
    <w:p w14:paraId="48335EDB" w14:textId="77777777" w:rsidR="00F06D39" w:rsidRDefault="00F06D39" w:rsidP="00F06D39">
      <w:pPr>
        <w:spacing w:after="0" w:line="360" w:lineRule="auto"/>
        <w:jc w:val="both"/>
        <w:rPr>
          <w:rFonts w:cs="Times New Roman"/>
          <w:szCs w:val="24"/>
        </w:rPr>
      </w:pPr>
      <w:r w:rsidRPr="00A10FB9">
        <w:rPr>
          <w:rFonts w:cs="Times New Roman"/>
          <w:szCs w:val="24"/>
        </w:rPr>
        <w:t xml:space="preserve">Interactive lectures, problem-based learning using interactive tutorials, small group discussions, written assignments, plenary presentations and case studies; </w:t>
      </w:r>
      <w:r w:rsidRPr="00A10FB9">
        <w:rPr>
          <w:rFonts w:cs="Times New Roman"/>
          <w:i/>
          <w:iCs/>
          <w:szCs w:val="24"/>
        </w:rPr>
        <w:t>experiential learning</w:t>
      </w:r>
      <w:r w:rsidRPr="00A10FB9">
        <w:rPr>
          <w:rFonts w:cs="Times New Roman"/>
          <w:szCs w:val="24"/>
        </w:rPr>
        <w:t xml:space="preserve"> through independent study and field visits, field works and placements, and online peer discussions using video clips and conferencing.</w:t>
      </w:r>
    </w:p>
    <w:p w14:paraId="75CADCC9" w14:textId="77777777" w:rsidR="00F06D39" w:rsidRPr="000A0C63" w:rsidRDefault="00F06D39" w:rsidP="00F06D39">
      <w:pPr>
        <w:spacing w:after="0" w:line="360" w:lineRule="auto"/>
        <w:jc w:val="both"/>
        <w:rPr>
          <w:rFonts w:cs="Times New Roman"/>
          <w:sz w:val="8"/>
          <w:szCs w:val="24"/>
        </w:rPr>
      </w:pPr>
    </w:p>
    <w:p w14:paraId="0284F413" w14:textId="77777777" w:rsidR="00F06D39" w:rsidRPr="00A10FB9" w:rsidRDefault="00F06D39" w:rsidP="00F06D39">
      <w:pPr>
        <w:spacing w:after="0" w:line="360" w:lineRule="auto"/>
        <w:jc w:val="both"/>
        <w:rPr>
          <w:rFonts w:cs="Times New Roman"/>
          <w:b/>
          <w:bCs/>
          <w:szCs w:val="24"/>
        </w:rPr>
      </w:pPr>
      <w:r w:rsidRPr="00A10FB9">
        <w:rPr>
          <w:rFonts w:cs="Times New Roman"/>
          <w:b/>
          <w:bCs/>
          <w:szCs w:val="24"/>
        </w:rPr>
        <w:t>Instructional Materials</w:t>
      </w:r>
    </w:p>
    <w:p w14:paraId="4194237E" w14:textId="77777777" w:rsidR="00F06D39" w:rsidRPr="00A10FB9" w:rsidRDefault="00F06D39" w:rsidP="00F06D39">
      <w:pPr>
        <w:spacing w:after="0" w:line="360" w:lineRule="auto"/>
        <w:contextualSpacing/>
        <w:jc w:val="both"/>
        <w:rPr>
          <w:rFonts w:cs="Times New Roman"/>
          <w:szCs w:val="24"/>
        </w:rPr>
      </w:pPr>
      <w:r w:rsidRPr="00A10FB9">
        <w:rPr>
          <w:rFonts w:cs="Times New Roman"/>
          <w:i/>
          <w:iCs/>
          <w:szCs w:val="24"/>
        </w:rPr>
        <w:lastRenderedPageBreak/>
        <w:t>Materials:</w:t>
      </w:r>
      <w:r w:rsidRPr="00A10FB9">
        <w:rPr>
          <w:rFonts w:cs="Times New Roman"/>
          <w:szCs w:val="24"/>
        </w:rPr>
        <w:t xml:space="preserve"> Lecture notes and slides, video clips, Handouts, case studies, Reference materials (</w:t>
      </w:r>
      <w:r>
        <w:rPr>
          <w:rFonts w:cs="Times New Roman"/>
          <w:szCs w:val="24"/>
        </w:rPr>
        <w:t>text</w:t>
      </w:r>
      <w:r w:rsidRPr="00A10FB9">
        <w:rPr>
          <w:rFonts w:cs="Times New Roman"/>
          <w:szCs w:val="24"/>
        </w:rPr>
        <w:t xml:space="preserve">books, journals, policy document guidelines), institutional placements and field visits </w:t>
      </w:r>
    </w:p>
    <w:p w14:paraId="6B226127" w14:textId="77777777" w:rsidR="00F06D39" w:rsidRPr="00A10FB9" w:rsidRDefault="00F06D39" w:rsidP="00F06D39">
      <w:pPr>
        <w:spacing w:after="0" w:line="360" w:lineRule="auto"/>
        <w:jc w:val="both"/>
        <w:rPr>
          <w:rFonts w:cs="Times New Roman"/>
          <w:szCs w:val="24"/>
        </w:rPr>
      </w:pPr>
      <w:r w:rsidRPr="00CD38AA">
        <w:rPr>
          <w:rFonts w:cs="Times New Roman"/>
          <w:i/>
          <w:szCs w:val="24"/>
        </w:rPr>
        <w:t>Equipment:</w:t>
      </w:r>
      <w:r w:rsidRPr="00A10FB9">
        <w:rPr>
          <w:rFonts w:cs="Times New Roman"/>
          <w:szCs w:val="24"/>
        </w:rPr>
        <w:t xml:space="preserve"> projector, laptop, </w:t>
      </w:r>
      <w:r>
        <w:rPr>
          <w:rFonts w:cs="Times New Roman"/>
          <w:szCs w:val="24"/>
        </w:rPr>
        <w:t>internet</w:t>
      </w:r>
      <w:r w:rsidRPr="00A10FB9">
        <w:rPr>
          <w:rFonts w:cs="Times New Roman"/>
          <w:szCs w:val="24"/>
        </w:rPr>
        <w:t xml:space="preserve"> access, markers &amp; flip charts.</w:t>
      </w:r>
    </w:p>
    <w:p w14:paraId="20F617D8" w14:textId="77777777" w:rsidR="00F06D39" w:rsidRPr="000A0C63" w:rsidRDefault="00F06D39" w:rsidP="00F06D39">
      <w:pPr>
        <w:spacing w:after="0" w:line="360" w:lineRule="auto"/>
        <w:jc w:val="both"/>
        <w:rPr>
          <w:rFonts w:cs="Times New Roman"/>
          <w:b/>
          <w:sz w:val="6"/>
          <w:szCs w:val="24"/>
        </w:rPr>
      </w:pPr>
    </w:p>
    <w:p w14:paraId="1BFD8AEB" w14:textId="77777777" w:rsidR="00F06D39" w:rsidRPr="00A10FB9" w:rsidRDefault="00F06D39" w:rsidP="00F06D39">
      <w:pPr>
        <w:spacing w:after="0" w:line="360" w:lineRule="auto"/>
        <w:jc w:val="both"/>
        <w:rPr>
          <w:rFonts w:cs="Times New Roman"/>
          <w:szCs w:val="24"/>
        </w:rPr>
      </w:pPr>
      <w:r w:rsidRPr="00A10FB9">
        <w:rPr>
          <w:rFonts w:cs="Times New Roman"/>
          <w:b/>
          <w:szCs w:val="24"/>
        </w:rPr>
        <w:t>Core Reference Materials</w:t>
      </w:r>
    </w:p>
    <w:p w14:paraId="68C71DDA" w14:textId="77777777" w:rsidR="00F06D39" w:rsidRPr="007A449E" w:rsidRDefault="00F06D39" w:rsidP="00F06D39">
      <w:pPr>
        <w:numPr>
          <w:ilvl w:val="0"/>
          <w:numId w:val="1"/>
        </w:numPr>
        <w:spacing w:after="0" w:line="300" w:lineRule="auto"/>
        <w:jc w:val="both"/>
        <w:rPr>
          <w:rFonts w:cs="Times New Roman"/>
          <w:szCs w:val="24"/>
        </w:rPr>
      </w:pPr>
      <w:r w:rsidRPr="007A449E">
        <w:rPr>
          <w:rFonts w:cs="Times New Roman"/>
          <w:color w:val="222222"/>
          <w:szCs w:val="24"/>
          <w:shd w:val="clear" w:color="auto" w:fill="FFFFFF"/>
        </w:rPr>
        <w:t>Chen, J., Farah, N., Dong, R. K., Chen, R. Z., Xu, W., Yin, J., ... &amp; Zhang, S. X. (2021). Mental health during the COVID-19 crisis in Africa: a systematic review and meta-analysis. </w:t>
      </w:r>
      <w:r w:rsidRPr="007A449E">
        <w:rPr>
          <w:rFonts w:cs="Times New Roman"/>
          <w:i/>
          <w:iCs/>
          <w:color w:val="222222"/>
          <w:szCs w:val="24"/>
          <w:shd w:val="clear" w:color="auto" w:fill="FFFFFF"/>
        </w:rPr>
        <w:t>International Journal of Environmental Research and Public Health</w:t>
      </w:r>
      <w:r w:rsidRPr="007A449E">
        <w:rPr>
          <w:rFonts w:cs="Times New Roman"/>
          <w:color w:val="222222"/>
          <w:szCs w:val="24"/>
          <w:shd w:val="clear" w:color="auto" w:fill="FFFFFF"/>
        </w:rPr>
        <w:t>, </w:t>
      </w:r>
      <w:r w:rsidRPr="007A449E">
        <w:rPr>
          <w:rFonts w:cs="Times New Roman"/>
          <w:i/>
          <w:iCs/>
          <w:color w:val="222222"/>
          <w:szCs w:val="24"/>
          <w:shd w:val="clear" w:color="auto" w:fill="FFFFFF"/>
        </w:rPr>
        <w:t>18</w:t>
      </w:r>
      <w:r w:rsidRPr="007A449E">
        <w:rPr>
          <w:rFonts w:cs="Times New Roman"/>
          <w:color w:val="222222"/>
          <w:szCs w:val="24"/>
          <w:shd w:val="clear" w:color="auto" w:fill="FFFFFF"/>
        </w:rPr>
        <w:t>(20), 10604.</w:t>
      </w:r>
    </w:p>
    <w:p w14:paraId="014013A0" w14:textId="7E6A0688" w:rsidR="00F06D39" w:rsidRPr="00F06D39" w:rsidRDefault="00F06D39" w:rsidP="00F06D39">
      <w:pPr>
        <w:numPr>
          <w:ilvl w:val="0"/>
          <w:numId w:val="1"/>
        </w:numPr>
        <w:spacing w:after="0" w:line="360" w:lineRule="auto"/>
        <w:ind w:left="360"/>
        <w:jc w:val="both"/>
        <w:rPr>
          <w:rFonts w:cs="Times New Roman"/>
          <w:b/>
          <w:bCs/>
          <w:szCs w:val="24"/>
        </w:rPr>
      </w:pPr>
      <w:r w:rsidRPr="00F06D39">
        <w:rPr>
          <w:rFonts w:cs="Times New Roman"/>
          <w:color w:val="222222"/>
          <w:szCs w:val="24"/>
          <w:shd w:val="clear" w:color="auto" w:fill="FFFFFF"/>
        </w:rPr>
        <w:t>Galea, S., Merchant, R. M., &amp; Lurie, N. (2020). The mental health consequences of COVID-19 and physical distancing: the need for prevention and early intervention. </w:t>
      </w:r>
      <w:r w:rsidRPr="00F06D39">
        <w:rPr>
          <w:rFonts w:cs="Times New Roman"/>
          <w:i/>
          <w:iCs/>
          <w:color w:val="222222"/>
          <w:szCs w:val="24"/>
          <w:shd w:val="clear" w:color="auto" w:fill="FFFFFF"/>
        </w:rPr>
        <w:t>JAMA internal medicine</w:t>
      </w:r>
      <w:r w:rsidRPr="00F06D39">
        <w:rPr>
          <w:rFonts w:cs="Times New Roman"/>
          <w:color w:val="222222"/>
          <w:szCs w:val="24"/>
          <w:shd w:val="clear" w:color="auto" w:fill="FFFFFF"/>
        </w:rPr>
        <w:t>, </w:t>
      </w:r>
      <w:r w:rsidRPr="00F06D39">
        <w:rPr>
          <w:rFonts w:cs="Times New Roman"/>
          <w:i/>
          <w:iCs/>
          <w:color w:val="222222"/>
          <w:szCs w:val="24"/>
          <w:shd w:val="clear" w:color="auto" w:fill="FFFFFF"/>
        </w:rPr>
        <w:t>180</w:t>
      </w:r>
      <w:r w:rsidRPr="00F06D39">
        <w:rPr>
          <w:rFonts w:cs="Times New Roman"/>
          <w:color w:val="222222"/>
          <w:szCs w:val="24"/>
          <w:shd w:val="clear" w:color="auto" w:fill="FFFFFF"/>
        </w:rPr>
        <w:t>(6), 817-818.</w:t>
      </w:r>
      <w:bookmarkStart w:id="1" w:name="_GoBack"/>
      <w:bookmarkEnd w:id="1"/>
    </w:p>
    <w:p w14:paraId="123D89AA" w14:textId="77777777" w:rsidR="00F06D39" w:rsidRDefault="00F06D39" w:rsidP="00F06D39">
      <w:pPr>
        <w:tabs>
          <w:tab w:val="left" w:pos="360"/>
        </w:tabs>
        <w:spacing w:after="0" w:line="360" w:lineRule="auto"/>
        <w:ind w:left="360" w:hanging="270"/>
        <w:jc w:val="both"/>
        <w:rPr>
          <w:rFonts w:cs="Times New Roman"/>
          <w:b/>
          <w:bCs/>
          <w:szCs w:val="24"/>
        </w:rPr>
      </w:pPr>
      <w:r w:rsidRPr="007A449E">
        <w:rPr>
          <w:rFonts w:cs="Times New Roman"/>
          <w:b/>
          <w:bCs/>
          <w:szCs w:val="24"/>
        </w:rPr>
        <w:t>Recommended Reference Materials</w:t>
      </w:r>
    </w:p>
    <w:p w14:paraId="5DD6FC80" w14:textId="77777777" w:rsidR="00F06D39" w:rsidRPr="001F69CF" w:rsidRDefault="00F06D39" w:rsidP="00F06D39">
      <w:pPr>
        <w:pStyle w:val="ListParagraph"/>
        <w:numPr>
          <w:ilvl w:val="0"/>
          <w:numId w:val="2"/>
        </w:numPr>
        <w:spacing w:after="0" w:line="300" w:lineRule="auto"/>
        <w:jc w:val="both"/>
        <w:rPr>
          <w:rFonts w:cs="Times New Roman"/>
          <w:szCs w:val="24"/>
        </w:rPr>
      </w:pPr>
      <w:r w:rsidRPr="001F69CF">
        <w:rPr>
          <w:rFonts w:cs="Times New Roman"/>
          <w:color w:val="222222"/>
          <w:szCs w:val="24"/>
          <w:shd w:val="clear" w:color="auto" w:fill="FFFFFF"/>
        </w:rPr>
        <w:t>Inter-Agency Standing Committee. (2006). IASC guidelines on mental health and psychosocial support in emergency settings. </w:t>
      </w:r>
      <w:r w:rsidRPr="001F69CF">
        <w:rPr>
          <w:rFonts w:cs="Times New Roman"/>
          <w:i/>
          <w:iCs/>
          <w:color w:val="222222"/>
          <w:szCs w:val="24"/>
          <w:shd w:val="clear" w:color="auto" w:fill="FFFFFF"/>
        </w:rPr>
        <w:t>Geneva, Switzerland: IASC 2006</w:t>
      </w:r>
      <w:r w:rsidRPr="001F69CF">
        <w:rPr>
          <w:rFonts w:cs="Times New Roman"/>
          <w:color w:val="222222"/>
          <w:szCs w:val="24"/>
          <w:shd w:val="clear" w:color="auto" w:fill="FFFFFF"/>
        </w:rPr>
        <w:t>. Retrieved from https://interagencystandingcommittee.org/iasc-task-force-mental-health-and-psychosocial-support-emergency-settings/iasc-guidelines-mental-health-and-psychosocial-support-emergency-settings-2007</w:t>
      </w:r>
    </w:p>
    <w:p w14:paraId="1BA19341" w14:textId="77777777" w:rsidR="00F06D39" w:rsidRPr="007A449E" w:rsidRDefault="00F06D39" w:rsidP="00F06D39">
      <w:pPr>
        <w:numPr>
          <w:ilvl w:val="0"/>
          <w:numId w:val="2"/>
        </w:numPr>
        <w:spacing w:after="0" w:line="300" w:lineRule="auto"/>
        <w:jc w:val="both"/>
        <w:rPr>
          <w:rFonts w:cs="Times New Roman"/>
          <w:szCs w:val="24"/>
        </w:rPr>
      </w:pPr>
      <w:r w:rsidRPr="007A449E">
        <w:rPr>
          <w:rFonts w:cs="Times New Roman"/>
          <w:szCs w:val="24"/>
        </w:rPr>
        <w:t xml:space="preserve">World Health Organization. (January 8 2021).  Mental health preparedness and response for the COVID-19 pandemic. Report by the Director General. EB148/20. Retrieved from </w:t>
      </w:r>
      <w:hyperlink r:id="rId5" w:history="1">
        <w:r w:rsidRPr="007A449E">
          <w:rPr>
            <w:rStyle w:val="Hyperlink"/>
            <w:rFonts w:cs="Times New Roman"/>
            <w:szCs w:val="24"/>
          </w:rPr>
          <w:t>https://apps.who.int/gb/ebwha/pdf_files/EB148/B148_20-en.pdf</w:t>
        </w:r>
      </w:hyperlink>
    </w:p>
    <w:p w14:paraId="209AF131" w14:textId="77777777" w:rsidR="00F06D39" w:rsidRPr="007A449E" w:rsidRDefault="00F06D39" w:rsidP="00F06D39">
      <w:pPr>
        <w:numPr>
          <w:ilvl w:val="0"/>
          <w:numId w:val="2"/>
        </w:numPr>
        <w:spacing w:after="0" w:line="300" w:lineRule="auto"/>
        <w:jc w:val="both"/>
        <w:rPr>
          <w:rFonts w:cs="Times New Roman"/>
          <w:szCs w:val="24"/>
        </w:rPr>
      </w:pPr>
      <w:r w:rsidRPr="007A449E">
        <w:rPr>
          <w:rFonts w:cs="Times New Roman"/>
          <w:szCs w:val="24"/>
        </w:rPr>
        <w:t xml:space="preserve">World Health Organization, War Trauma Foundation and World Vision International (2011). Psychological first aid: Guide for field workers. WHO: </w:t>
      </w:r>
      <w:proofErr w:type="gramStart"/>
      <w:r w:rsidRPr="007A449E">
        <w:rPr>
          <w:rFonts w:cs="Times New Roman"/>
          <w:szCs w:val="24"/>
        </w:rPr>
        <w:t>Geneva.</w:t>
      </w:r>
      <w:proofErr w:type="gramEnd"/>
      <w:r w:rsidRPr="007A449E">
        <w:rPr>
          <w:rFonts w:cs="Times New Roman"/>
          <w:szCs w:val="24"/>
        </w:rPr>
        <w:t xml:space="preserve"> Available at </w:t>
      </w:r>
      <w:hyperlink r:id="rId6" w:history="1">
        <w:r w:rsidRPr="007A449E">
          <w:rPr>
            <w:rFonts w:cs="Times New Roman"/>
            <w:szCs w:val="24"/>
            <w:u w:val="single"/>
          </w:rPr>
          <w:t>https://www.who.int/mental_health/publications/guide_field_workers/en/</w:t>
        </w:r>
      </w:hyperlink>
    </w:p>
    <w:p w14:paraId="7B83B044" w14:textId="77777777" w:rsidR="004B2B29" w:rsidRDefault="004B2B29"/>
    <w:sectPr w:rsidR="004B2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600074"/>
    <w:multiLevelType w:val="hybridMultilevel"/>
    <w:tmpl w:val="2862A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477366"/>
    <w:multiLevelType w:val="multilevel"/>
    <w:tmpl w:val="CABC312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D39"/>
    <w:rsid w:val="004B2B29"/>
    <w:rsid w:val="00C55B5E"/>
    <w:rsid w:val="00CA05BB"/>
    <w:rsid w:val="00DA3EC6"/>
    <w:rsid w:val="00F06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B22EC9"/>
  <w15:chartTrackingRefBased/>
  <w15:docId w15:val="{8800B932-E69D-4EAD-BFB4-9FE634EDA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6D39"/>
    <w:pPr>
      <w:spacing w:after="200" w:line="276" w:lineRule="auto"/>
    </w:pPr>
    <w:rPr>
      <w:rFonts w:ascii="Times New Roman" w:eastAsia="Calibri" w:hAnsi="Times New Roman" w:cs="Tunga"/>
      <w:sz w:val="24"/>
    </w:rPr>
  </w:style>
  <w:style w:type="paragraph" w:styleId="Heading1">
    <w:name w:val="heading 1"/>
    <w:basedOn w:val="Normal"/>
    <w:next w:val="Normal"/>
    <w:link w:val="Heading1Char"/>
    <w:uiPriority w:val="9"/>
    <w:qFormat/>
    <w:rsid w:val="00DA3EC6"/>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qFormat/>
    <w:rsid w:val="00C55B5E"/>
    <w:pPr>
      <w:keepNext/>
      <w:keepLines/>
      <w:spacing w:before="40" w:after="0" w:line="240" w:lineRule="auto"/>
      <w:outlineLvl w:val="1"/>
    </w:pPr>
    <w:rPr>
      <w:b/>
      <w:color w:val="000000" w:themeColor="text1"/>
      <w:sz w:val="26"/>
      <w:szCs w:val="26"/>
    </w:rPr>
  </w:style>
  <w:style w:type="paragraph" w:styleId="Heading4">
    <w:name w:val="heading 4"/>
    <w:basedOn w:val="Normal"/>
    <w:next w:val="Normal"/>
    <w:link w:val="Heading4Char"/>
    <w:uiPriority w:val="9"/>
    <w:semiHidden/>
    <w:unhideWhenUsed/>
    <w:qFormat/>
    <w:rsid w:val="00DA3EC6"/>
    <w:pPr>
      <w:keepNext/>
      <w:keepLines/>
      <w:spacing w:before="40" w:after="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link w:val="Style2Char"/>
    <w:autoRedefine/>
    <w:qFormat/>
    <w:rsid w:val="00DA3EC6"/>
  </w:style>
  <w:style w:type="character" w:customStyle="1" w:styleId="Style2Char">
    <w:name w:val="Style2 Char"/>
    <w:basedOn w:val="Heading1Char"/>
    <w:link w:val="Style2"/>
    <w:rsid w:val="00DA3EC6"/>
    <w:rPr>
      <w:rFonts w:asciiTheme="majorHAnsi" w:eastAsiaTheme="majorEastAsia" w:hAnsiTheme="majorHAnsi" w:cstheme="majorBidi"/>
      <w:color w:val="000000" w:themeColor="text1"/>
      <w:sz w:val="32"/>
      <w:szCs w:val="32"/>
    </w:rPr>
  </w:style>
  <w:style w:type="character" w:customStyle="1" w:styleId="Heading1Char">
    <w:name w:val="Heading 1 Char"/>
    <w:basedOn w:val="DefaultParagraphFont"/>
    <w:link w:val="Heading1"/>
    <w:uiPriority w:val="9"/>
    <w:rsid w:val="00DA3EC6"/>
    <w:rPr>
      <w:rFonts w:asciiTheme="majorHAnsi" w:eastAsiaTheme="majorEastAsia" w:hAnsiTheme="majorHAnsi" w:cstheme="majorBidi"/>
      <w:color w:val="000000" w:themeColor="text1"/>
      <w:sz w:val="32"/>
      <w:szCs w:val="32"/>
    </w:rPr>
  </w:style>
  <w:style w:type="paragraph" w:customStyle="1" w:styleId="Style3">
    <w:name w:val="Style3"/>
    <w:basedOn w:val="Heading1"/>
    <w:link w:val="Style3Char"/>
    <w:qFormat/>
    <w:rsid w:val="00DA3EC6"/>
  </w:style>
  <w:style w:type="character" w:customStyle="1" w:styleId="Style3Char">
    <w:name w:val="Style3 Char"/>
    <w:basedOn w:val="Heading1Char"/>
    <w:link w:val="Style3"/>
    <w:rsid w:val="00DA3EC6"/>
    <w:rPr>
      <w:rFonts w:asciiTheme="majorHAnsi" w:eastAsiaTheme="majorEastAsia" w:hAnsiTheme="majorHAnsi" w:cstheme="majorBidi"/>
      <w:color w:val="000000" w:themeColor="text1"/>
      <w:sz w:val="32"/>
      <w:szCs w:val="32"/>
    </w:rPr>
  </w:style>
  <w:style w:type="character" w:customStyle="1" w:styleId="Heading4Char">
    <w:name w:val="Heading 4 Char"/>
    <w:basedOn w:val="DefaultParagraphFont"/>
    <w:link w:val="Heading4"/>
    <w:uiPriority w:val="9"/>
    <w:semiHidden/>
    <w:rsid w:val="00DA3EC6"/>
    <w:rPr>
      <w:rFonts w:asciiTheme="majorHAnsi" w:eastAsiaTheme="majorEastAsia" w:hAnsiTheme="majorHAnsi" w:cstheme="majorBidi"/>
      <w:i/>
      <w:iCs/>
      <w:color w:val="000000" w:themeColor="text1"/>
    </w:rPr>
  </w:style>
  <w:style w:type="character" w:customStyle="1" w:styleId="Heading2Char">
    <w:name w:val="Heading 2 Char"/>
    <w:link w:val="Heading2"/>
    <w:uiPriority w:val="9"/>
    <w:rsid w:val="00C55B5E"/>
    <w:rPr>
      <w:rFonts w:ascii="Times New Roman" w:hAnsi="Times New Roman"/>
      <w:b/>
      <w:color w:val="000000" w:themeColor="text1"/>
      <w:sz w:val="26"/>
      <w:szCs w:val="26"/>
    </w:rPr>
  </w:style>
  <w:style w:type="paragraph" w:styleId="ListParagraph">
    <w:name w:val="List Paragraph"/>
    <w:basedOn w:val="Normal"/>
    <w:uiPriority w:val="34"/>
    <w:qFormat/>
    <w:rsid w:val="00F06D39"/>
    <w:pPr>
      <w:ind w:left="720"/>
      <w:contextualSpacing/>
    </w:pPr>
  </w:style>
  <w:style w:type="character" w:styleId="Hyperlink">
    <w:name w:val="Hyperlink"/>
    <w:uiPriority w:val="99"/>
    <w:unhideWhenUsed/>
    <w:rsid w:val="00F06D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ho.int/mental_health/publications/guide_field_workers/en/" TargetMode="External"/><Relationship Id="rId5" Type="http://schemas.openxmlformats.org/officeDocument/2006/relationships/hyperlink" Target="https://apps.who.int/gb/ebwha/pdf_files/EB148/B148_20-e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3263</Characters>
  <Application>Microsoft Office Word</Application>
  <DocSecurity>0</DocSecurity>
  <Lines>58</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Salvias</dc:creator>
  <cp:keywords/>
  <dc:description/>
  <cp:lastModifiedBy>Salvias</cp:lastModifiedBy>
  <cp:revision>1</cp:revision>
  <dcterms:created xsi:type="dcterms:W3CDTF">2024-04-16T10:22:00Z</dcterms:created>
  <dcterms:modified xsi:type="dcterms:W3CDTF">2024-04-16T10:24:00Z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596af1fe-8ef1-4a46-8bf0-9507397282a6</vt:lpwstr>
  </property>
</Properties>
</file>