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F0D48" w14:textId="77777777" w:rsidR="00930A6E" w:rsidRPr="00007A48" w:rsidRDefault="00930A6E" w:rsidP="00930A6E">
      <w:pPr>
        <w:pStyle w:val="Heading2"/>
      </w:pPr>
      <w:bookmarkStart w:id="0" w:name="_Toc134044879"/>
      <w:r w:rsidRPr="00007A48">
        <w:t>POH 118: FOOD SAFETY, SECURITY AND NUTRITION IN PANDEMICS</w:t>
      </w:r>
      <w:bookmarkEnd w:id="0"/>
      <w:r w:rsidRPr="00007A48">
        <w:t xml:space="preserve"> </w:t>
      </w:r>
    </w:p>
    <w:p w14:paraId="67FABE52" w14:textId="096CA315" w:rsidR="00930A6E" w:rsidRPr="00EE679A" w:rsidRDefault="00930A6E" w:rsidP="00930A6E">
      <w:pPr>
        <w:spacing w:before="240" w:after="0" w:line="360" w:lineRule="auto"/>
        <w:contextualSpacing/>
        <w:jc w:val="both"/>
        <w:rPr>
          <w:rFonts w:cs="Times New Roman"/>
          <w:b/>
          <w:szCs w:val="24"/>
        </w:rPr>
      </w:pPr>
      <w:r>
        <w:rPr>
          <w:rFonts w:cs="Times New Roman"/>
          <w:b/>
          <w:szCs w:val="24"/>
        </w:rPr>
        <w:t xml:space="preserve">Module Overview </w:t>
      </w:r>
    </w:p>
    <w:p w14:paraId="196442CF" w14:textId="77777777" w:rsidR="00930A6E" w:rsidRPr="00EE679A" w:rsidRDefault="00930A6E" w:rsidP="00930A6E">
      <w:pPr>
        <w:widowControl w:val="0"/>
        <w:autoSpaceDE w:val="0"/>
        <w:autoSpaceDN w:val="0"/>
        <w:spacing w:line="360" w:lineRule="auto"/>
        <w:jc w:val="both"/>
        <w:rPr>
          <w:rFonts w:cs="Times New Roman"/>
          <w:bCs/>
          <w:szCs w:val="24"/>
          <w:lang w:val="en-GB"/>
        </w:rPr>
      </w:pPr>
      <w:r w:rsidRPr="00EE679A">
        <w:rPr>
          <w:rFonts w:cs="Times New Roman"/>
          <w:bCs/>
          <w:szCs w:val="24"/>
          <w:lang w:val="en-GB"/>
        </w:rPr>
        <w:t>Nutritional composition of food/food groups; Nutritional needs of different population groups; malnutrition causes and interventions; Nutrition assessment, Food and nutrition responses and interventions (Food quality, appropriateness, and acceptability, Targeting, distribution and delivery, food use),  Nutrition vulnerability; Nutrition in Emergencies: Definition of terms Nutrition, malnutrition, food security, food aid management, supplementation, primary production, macro and micronutrients, food hygiene and safety. A description of food chains (with special emphasis on foods of animal origin like beef, pork, poultry, milk, egg, and fish). Common and emerging contaminants of food</w:t>
      </w:r>
    </w:p>
    <w:p w14:paraId="3663ABB5" w14:textId="77777777" w:rsidR="00930A6E" w:rsidRPr="00EE679A" w:rsidRDefault="00930A6E" w:rsidP="00930A6E">
      <w:pPr>
        <w:widowControl w:val="0"/>
        <w:autoSpaceDE w:val="0"/>
        <w:autoSpaceDN w:val="0"/>
        <w:spacing w:line="360" w:lineRule="auto"/>
        <w:jc w:val="both"/>
        <w:rPr>
          <w:rFonts w:cs="Times New Roman"/>
          <w:bCs/>
          <w:szCs w:val="24"/>
          <w:lang w:val="en-GB"/>
        </w:rPr>
      </w:pPr>
      <w:r w:rsidRPr="00EE679A">
        <w:rPr>
          <w:rFonts w:cs="Times New Roman"/>
          <w:bCs/>
          <w:szCs w:val="24"/>
          <w:lang w:val="en-GB"/>
        </w:rPr>
        <w:t xml:space="preserve">Hazards associated with food; chemical, microbiological and physical hazards in foods; Approaches to prevention of food contamination: Good agricultural practices; good animal husbandry practices, good manufacturing practices, food hygiene principles; food handlers; Food quality assurance schemes; Food risk assessment, standards and legislation; Foodborne diseases and contaminants; International trade facilitation agreements on food safety; legal requirements. </w:t>
      </w:r>
    </w:p>
    <w:p w14:paraId="28BF148C" w14:textId="77777777" w:rsidR="00930A6E" w:rsidRPr="00EE679A" w:rsidRDefault="00930A6E" w:rsidP="00930A6E">
      <w:pPr>
        <w:widowControl w:val="0"/>
        <w:autoSpaceDE w:val="0"/>
        <w:autoSpaceDN w:val="0"/>
        <w:spacing w:line="360" w:lineRule="auto"/>
        <w:jc w:val="both"/>
        <w:rPr>
          <w:rFonts w:cs="Times New Roman"/>
          <w:bCs/>
          <w:szCs w:val="24"/>
          <w:lang w:val="en-GB"/>
        </w:rPr>
      </w:pPr>
      <w:r w:rsidRPr="00EE679A">
        <w:rPr>
          <w:rFonts w:cs="Times New Roman"/>
          <w:bCs/>
          <w:szCs w:val="24"/>
          <w:lang w:val="en-GB"/>
        </w:rPr>
        <w:t>Food Security definition and analysis, primary production, general food security, income and employment and access to markets, Food security assessment tool in disaster, livelihoods, Nutrition assessments, nutrition assessment checklist, correction of malnutrition in disaster, surveillance and monitoring malnutrition in disaster, minimum standards in food aids management. Availability, access, and use</w:t>
      </w:r>
    </w:p>
    <w:p w14:paraId="458417E0" w14:textId="77777777" w:rsidR="00930A6E" w:rsidRPr="00EE679A" w:rsidRDefault="00930A6E" w:rsidP="00930A6E">
      <w:pPr>
        <w:widowControl w:val="0"/>
        <w:autoSpaceDE w:val="0"/>
        <w:autoSpaceDN w:val="0"/>
        <w:spacing w:line="360" w:lineRule="auto"/>
        <w:jc w:val="both"/>
        <w:rPr>
          <w:rFonts w:cs="Times New Roman"/>
          <w:bCs/>
          <w:szCs w:val="24"/>
          <w:lang w:val="en-GB"/>
        </w:rPr>
      </w:pPr>
      <w:r w:rsidRPr="00EE679A">
        <w:rPr>
          <w:rFonts w:cs="Times New Roman"/>
          <w:bCs/>
          <w:szCs w:val="24"/>
          <w:lang w:val="en-GB"/>
        </w:rPr>
        <w:t xml:space="preserve">Approaches to food security: National and international food statistics (Kenyan case); Food security - definitions and principles, threats to food security policy, intervention measures; food policy impact on dietary choices, Case Studies - chronic energy deficiency, African food battles. </w:t>
      </w:r>
    </w:p>
    <w:p w14:paraId="7794BE1E" w14:textId="77777777" w:rsidR="00930A6E" w:rsidRPr="00EE679A" w:rsidRDefault="00930A6E" w:rsidP="00930A6E">
      <w:pPr>
        <w:spacing w:after="0" w:line="360" w:lineRule="auto"/>
        <w:contextualSpacing/>
        <w:jc w:val="both"/>
        <w:rPr>
          <w:rFonts w:cs="Times New Roman"/>
          <w:szCs w:val="24"/>
        </w:rPr>
      </w:pPr>
      <w:r w:rsidRPr="00EE679A">
        <w:rPr>
          <w:rFonts w:cs="Times New Roman"/>
          <w:bCs/>
          <w:szCs w:val="24"/>
          <w:lang w:val="en-GB"/>
        </w:rPr>
        <w:t>Strategy and stakeholders: Policy negotiation and strategy development; International Agencies in Food and Nutrition. Structural Adjustment programmes and their impact on food and nutrition policy</w:t>
      </w:r>
    </w:p>
    <w:p w14:paraId="204E8B9F" w14:textId="77777777" w:rsidR="00930A6E" w:rsidRPr="000A0C63" w:rsidRDefault="00930A6E" w:rsidP="00930A6E">
      <w:pPr>
        <w:spacing w:after="0" w:line="360" w:lineRule="auto"/>
        <w:ind w:left="471" w:right="977"/>
        <w:jc w:val="both"/>
        <w:rPr>
          <w:rFonts w:eastAsia="Times New Roman" w:cs="Times New Roman"/>
          <w:bCs/>
          <w:sz w:val="10"/>
          <w:szCs w:val="24"/>
          <w:lang w:val="en-GB"/>
        </w:rPr>
      </w:pPr>
    </w:p>
    <w:p w14:paraId="004F1D05" w14:textId="77777777" w:rsidR="00930A6E" w:rsidRPr="00EE679A" w:rsidRDefault="00930A6E" w:rsidP="00930A6E">
      <w:pPr>
        <w:rPr>
          <w:rFonts w:cs="Times New Roman"/>
          <w:b/>
        </w:rPr>
      </w:pPr>
      <w:r w:rsidRPr="00EE679A">
        <w:rPr>
          <w:rFonts w:cs="Times New Roman"/>
          <w:b/>
        </w:rPr>
        <w:t xml:space="preserve">Mode of Delivery </w:t>
      </w:r>
    </w:p>
    <w:p w14:paraId="597BA853" w14:textId="77777777" w:rsidR="00930A6E" w:rsidRDefault="00930A6E" w:rsidP="00930A6E">
      <w:pPr>
        <w:spacing w:after="0" w:line="360" w:lineRule="auto"/>
        <w:jc w:val="both"/>
        <w:rPr>
          <w:rFonts w:cs="Times New Roman"/>
          <w:szCs w:val="24"/>
        </w:rPr>
      </w:pPr>
      <w:r w:rsidRPr="00E63992">
        <w:rPr>
          <w:rFonts w:cs="Times New Roman"/>
          <w:szCs w:val="24"/>
        </w:rPr>
        <w:lastRenderedPageBreak/>
        <w:t xml:space="preserve">Interactive lectures, problem-based learning using interactive tutorials, small group discussions, written assignments, plenary presentations and case studies; </w:t>
      </w:r>
      <w:r w:rsidRPr="00E63992">
        <w:rPr>
          <w:rFonts w:cs="Times New Roman"/>
          <w:i/>
          <w:iCs/>
          <w:szCs w:val="24"/>
        </w:rPr>
        <w:t>experiential learning</w:t>
      </w:r>
      <w:r w:rsidRPr="00E63992">
        <w:rPr>
          <w:rFonts w:cs="Times New Roman"/>
          <w:szCs w:val="24"/>
        </w:rPr>
        <w:t xml:space="preserve"> through independent study and field visits, field works and placements, and online peer discussions using video clips and conferencing. Practicum on nutritional assessments. </w:t>
      </w:r>
    </w:p>
    <w:p w14:paraId="7618FC84" w14:textId="7C11FF4A" w:rsidR="00930A6E" w:rsidRPr="00E63992" w:rsidRDefault="00930A6E" w:rsidP="00930A6E">
      <w:pPr>
        <w:spacing w:after="0" w:line="360" w:lineRule="auto"/>
        <w:jc w:val="both"/>
        <w:rPr>
          <w:rFonts w:cs="Times New Roman"/>
          <w:b/>
          <w:bCs/>
          <w:szCs w:val="24"/>
        </w:rPr>
      </w:pPr>
      <w:bookmarkStart w:id="1" w:name="_GoBack"/>
      <w:bookmarkEnd w:id="1"/>
      <w:r w:rsidRPr="00E63992">
        <w:rPr>
          <w:rFonts w:cs="Times New Roman"/>
          <w:b/>
          <w:bCs/>
          <w:szCs w:val="24"/>
        </w:rPr>
        <w:t>Instructional Materials</w:t>
      </w:r>
    </w:p>
    <w:p w14:paraId="379C3A88" w14:textId="77777777" w:rsidR="00930A6E" w:rsidRDefault="00930A6E" w:rsidP="00930A6E">
      <w:pPr>
        <w:spacing w:after="0" w:line="360" w:lineRule="auto"/>
        <w:contextualSpacing/>
        <w:jc w:val="both"/>
        <w:rPr>
          <w:rFonts w:cs="Times New Roman"/>
          <w:szCs w:val="24"/>
        </w:rPr>
      </w:pPr>
      <w:r w:rsidRPr="00E63992">
        <w:rPr>
          <w:rFonts w:cs="Times New Roman"/>
          <w:i/>
          <w:iCs/>
          <w:szCs w:val="24"/>
        </w:rPr>
        <w:t>Materials:</w:t>
      </w:r>
      <w:r w:rsidRPr="00E63992">
        <w:rPr>
          <w:rFonts w:cs="Times New Roman"/>
          <w:szCs w:val="24"/>
        </w:rPr>
        <w:t xml:space="preserve"> Lecture notes and slides, video clips, Handouts, case studies, Reference materials (</w:t>
      </w:r>
      <w:r>
        <w:rPr>
          <w:rFonts w:cs="Times New Roman"/>
          <w:szCs w:val="24"/>
        </w:rPr>
        <w:t>text</w:t>
      </w:r>
      <w:r w:rsidRPr="00E63992">
        <w:rPr>
          <w:rFonts w:cs="Times New Roman"/>
          <w:szCs w:val="24"/>
        </w:rPr>
        <w:t>books, journals, policy document guidelines), institutional placeme</w:t>
      </w:r>
      <w:r>
        <w:rPr>
          <w:rFonts w:cs="Times New Roman"/>
          <w:szCs w:val="24"/>
        </w:rPr>
        <w:t>nts and field visits; practicum.</w:t>
      </w:r>
    </w:p>
    <w:p w14:paraId="7F7E4EE4" w14:textId="77777777" w:rsidR="00930A6E" w:rsidRPr="00E63992" w:rsidRDefault="00930A6E" w:rsidP="00930A6E">
      <w:pPr>
        <w:spacing w:after="0" w:line="360" w:lineRule="auto"/>
        <w:contextualSpacing/>
        <w:jc w:val="both"/>
        <w:rPr>
          <w:rFonts w:cs="Times New Roman"/>
          <w:szCs w:val="24"/>
        </w:rPr>
      </w:pPr>
      <w:r>
        <w:rPr>
          <w:rFonts w:cs="Times New Roman"/>
          <w:szCs w:val="24"/>
        </w:rPr>
        <w:t xml:space="preserve"> </w:t>
      </w:r>
      <w:r w:rsidRPr="00CD38AA">
        <w:rPr>
          <w:rFonts w:cs="Times New Roman"/>
          <w:i/>
          <w:szCs w:val="24"/>
        </w:rPr>
        <w:t>Equipment:</w:t>
      </w:r>
      <w:r w:rsidRPr="00E63992">
        <w:rPr>
          <w:rFonts w:cs="Times New Roman"/>
          <w:szCs w:val="24"/>
        </w:rPr>
        <w:t xml:space="preserve"> projector, laptop, </w:t>
      </w:r>
      <w:r>
        <w:rPr>
          <w:rFonts w:cs="Times New Roman"/>
          <w:szCs w:val="24"/>
        </w:rPr>
        <w:t>internet</w:t>
      </w:r>
      <w:r w:rsidRPr="00E63992">
        <w:rPr>
          <w:rFonts w:cs="Times New Roman"/>
          <w:szCs w:val="24"/>
        </w:rPr>
        <w:t xml:space="preserve"> access, marketers &amp; flip charts.</w:t>
      </w:r>
    </w:p>
    <w:p w14:paraId="2BA578B7" w14:textId="77777777" w:rsidR="00930A6E" w:rsidRDefault="00930A6E" w:rsidP="00930A6E">
      <w:pPr>
        <w:spacing w:after="0" w:line="360" w:lineRule="auto"/>
        <w:ind w:right="977"/>
        <w:jc w:val="both"/>
        <w:rPr>
          <w:b/>
        </w:rPr>
      </w:pPr>
      <w:r w:rsidRPr="00E63992">
        <w:rPr>
          <w:rFonts w:eastAsia="Times New Roman" w:cs="Times New Roman"/>
          <w:b/>
          <w:szCs w:val="24"/>
          <w:lang w:val="en-GB"/>
        </w:rPr>
        <w:t xml:space="preserve">Core Reference </w:t>
      </w:r>
      <w:r w:rsidRPr="00BB563D">
        <w:rPr>
          <w:b/>
        </w:rPr>
        <w:t xml:space="preserve">Materials </w:t>
      </w:r>
    </w:p>
    <w:p w14:paraId="0614CFF0" w14:textId="77777777" w:rsidR="00930A6E" w:rsidRDefault="00930A6E" w:rsidP="00930A6E">
      <w:pPr>
        <w:numPr>
          <w:ilvl w:val="0"/>
          <w:numId w:val="2"/>
        </w:numPr>
        <w:spacing w:after="0" w:line="300" w:lineRule="auto"/>
        <w:jc w:val="both"/>
        <w:rPr>
          <w:rFonts w:cs="Times New Roman"/>
          <w:szCs w:val="24"/>
        </w:rPr>
      </w:pPr>
      <w:r w:rsidRPr="00BB563D">
        <w:rPr>
          <w:rFonts w:cs="Times New Roman"/>
          <w:color w:val="222222"/>
          <w:szCs w:val="24"/>
          <w:shd w:val="clear" w:color="auto" w:fill="FFFFFF"/>
        </w:rPr>
        <w:t>Sphere Association (Ed.). (2018). </w:t>
      </w:r>
      <w:r w:rsidRPr="00BB563D">
        <w:rPr>
          <w:rFonts w:cs="Times New Roman"/>
          <w:i/>
          <w:iCs/>
          <w:color w:val="222222"/>
          <w:szCs w:val="24"/>
          <w:shd w:val="clear" w:color="auto" w:fill="FFFFFF"/>
        </w:rPr>
        <w:t>Sphere handbook: humanitarian charter and minimum standards in humanitarian response</w:t>
      </w:r>
      <w:r w:rsidRPr="00BB563D">
        <w:rPr>
          <w:rFonts w:cs="Times New Roman"/>
          <w:color w:val="222222"/>
          <w:szCs w:val="24"/>
          <w:shd w:val="clear" w:color="auto" w:fill="FFFFFF"/>
        </w:rPr>
        <w:t xml:space="preserve">. Practical Action. Retrieved from </w:t>
      </w:r>
      <w:hyperlink r:id="rId5" w:history="1">
        <w:r w:rsidRPr="00BB563D">
          <w:rPr>
            <w:rFonts w:cs="Times New Roman"/>
            <w:szCs w:val="24"/>
            <w:u w:val="single"/>
          </w:rPr>
          <w:t>www.spherestandards.org/handbook</w:t>
        </w:r>
      </w:hyperlink>
    </w:p>
    <w:p w14:paraId="6779DA4A" w14:textId="77777777" w:rsidR="00930A6E" w:rsidRDefault="00930A6E" w:rsidP="00930A6E">
      <w:pPr>
        <w:numPr>
          <w:ilvl w:val="0"/>
          <w:numId w:val="2"/>
        </w:numPr>
        <w:spacing w:after="0" w:line="300" w:lineRule="auto"/>
        <w:jc w:val="both"/>
        <w:rPr>
          <w:rFonts w:cs="Times New Roman"/>
          <w:szCs w:val="24"/>
        </w:rPr>
      </w:pPr>
      <w:r w:rsidRPr="00BB563D">
        <w:rPr>
          <w:rFonts w:cs="Times New Roman"/>
          <w:szCs w:val="24"/>
          <w:shd w:val="clear" w:color="auto" w:fill="FFFFFF"/>
        </w:rPr>
        <w:t>Schmidt, R. H., &amp; Rodrick, G. E. (2003). </w:t>
      </w:r>
      <w:r w:rsidRPr="00BB563D">
        <w:rPr>
          <w:rFonts w:cs="Times New Roman"/>
          <w:i/>
          <w:iCs/>
          <w:szCs w:val="24"/>
          <w:shd w:val="clear" w:color="auto" w:fill="FFFFFF"/>
        </w:rPr>
        <w:t>Food safety handbook</w:t>
      </w:r>
      <w:r w:rsidRPr="00BB563D">
        <w:rPr>
          <w:rFonts w:cs="Times New Roman"/>
          <w:szCs w:val="24"/>
          <w:shd w:val="clear" w:color="auto" w:fill="FFFFFF"/>
        </w:rPr>
        <w:t>. John Wiley &amp; Sons.</w:t>
      </w:r>
    </w:p>
    <w:p w14:paraId="48B83A40" w14:textId="77777777" w:rsidR="00930A6E" w:rsidRDefault="00930A6E" w:rsidP="00930A6E">
      <w:pPr>
        <w:numPr>
          <w:ilvl w:val="0"/>
          <w:numId w:val="2"/>
        </w:numPr>
        <w:spacing w:after="0" w:line="300" w:lineRule="auto"/>
        <w:jc w:val="both"/>
        <w:rPr>
          <w:rFonts w:cs="Times New Roman"/>
          <w:szCs w:val="24"/>
        </w:rPr>
      </w:pPr>
      <w:r w:rsidRPr="00BB563D">
        <w:rPr>
          <w:rFonts w:cs="Times New Roman"/>
          <w:color w:val="222222"/>
          <w:szCs w:val="24"/>
          <w:shd w:val="clear" w:color="auto" w:fill="FFFFFF"/>
        </w:rPr>
        <w:t>Fukuda, K. (2015). Food safety in a globalized world. </w:t>
      </w:r>
      <w:r w:rsidRPr="00BB563D">
        <w:rPr>
          <w:rFonts w:cs="Times New Roman"/>
          <w:i/>
          <w:iCs/>
          <w:color w:val="222222"/>
          <w:szCs w:val="24"/>
          <w:shd w:val="clear" w:color="auto" w:fill="FFFFFF"/>
        </w:rPr>
        <w:t>Bulletin of the World Health Organization</w:t>
      </w:r>
      <w:r w:rsidRPr="00BB563D">
        <w:rPr>
          <w:rFonts w:cs="Times New Roman"/>
          <w:color w:val="222222"/>
          <w:szCs w:val="24"/>
          <w:shd w:val="clear" w:color="auto" w:fill="FFFFFF"/>
        </w:rPr>
        <w:t>, </w:t>
      </w:r>
      <w:r w:rsidRPr="00BB563D">
        <w:rPr>
          <w:rFonts w:cs="Times New Roman"/>
          <w:i/>
          <w:iCs/>
          <w:color w:val="222222"/>
          <w:szCs w:val="24"/>
          <w:shd w:val="clear" w:color="auto" w:fill="FFFFFF"/>
        </w:rPr>
        <w:t>93</w:t>
      </w:r>
      <w:r w:rsidRPr="00BB563D">
        <w:rPr>
          <w:rFonts w:cs="Times New Roman"/>
          <w:color w:val="222222"/>
          <w:szCs w:val="24"/>
          <w:shd w:val="clear" w:color="auto" w:fill="FFFFFF"/>
        </w:rPr>
        <w:t>, 212-212.</w:t>
      </w:r>
    </w:p>
    <w:p w14:paraId="5E9F7C45" w14:textId="77777777" w:rsidR="00930A6E" w:rsidRPr="00BB563D" w:rsidRDefault="00930A6E" w:rsidP="00930A6E">
      <w:pPr>
        <w:numPr>
          <w:ilvl w:val="0"/>
          <w:numId w:val="2"/>
        </w:numPr>
        <w:spacing w:after="0" w:line="300" w:lineRule="auto"/>
        <w:jc w:val="both"/>
        <w:rPr>
          <w:rFonts w:cs="Times New Roman"/>
          <w:szCs w:val="24"/>
        </w:rPr>
      </w:pPr>
      <w:r w:rsidRPr="00BB563D">
        <w:rPr>
          <w:rFonts w:cs="Times New Roman"/>
          <w:color w:val="222222"/>
          <w:szCs w:val="24"/>
          <w:shd w:val="clear" w:color="auto" w:fill="FFFFFF"/>
        </w:rPr>
        <w:t xml:space="preserve">Aiyar, A., &amp; </w:t>
      </w:r>
      <w:proofErr w:type="spellStart"/>
      <w:r w:rsidRPr="00BB563D">
        <w:rPr>
          <w:rFonts w:cs="Times New Roman"/>
          <w:color w:val="222222"/>
          <w:szCs w:val="24"/>
          <w:shd w:val="clear" w:color="auto" w:fill="FFFFFF"/>
        </w:rPr>
        <w:t>Pingali</w:t>
      </w:r>
      <w:proofErr w:type="spellEnd"/>
      <w:r w:rsidRPr="00BB563D">
        <w:rPr>
          <w:rFonts w:cs="Times New Roman"/>
          <w:color w:val="222222"/>
          <w:szCs w:val="24"/>
          <w:shd w:val="clear" w:color="auto" w:fill="FFFFFF"/>
        </w:rPr>
        <w:t>, P. (2020). Pandemics and food systems-towards a proactive food safety approach to disease prevention &amp; management. </w:t>
      </w:r>
      <w:r w:rsidRPr="00BB563D">
        <w:rPr>
          <w:rFonts w:cs="Times New Roman"/>
          <w:i/>
          <w:iCs/>
          <w:color w:val="222222"/>
          <w:szCs w:val="24"/>
          <w:shd w:val="clear" w:color="auto" w:fill="FFFFFF"/>
        </w:rPr>
        <w:t>Food Security</w:t>
      </w:r>
      <w:r w:rsidRPr="00BB563D">
        <w:rPr>
          <w:rFonts w:cs="Times New Roman"/>
          <w:color w:val="222222"/>
          <w:szCs w:val="24"/>
          <w:shd w:val="clear" w:color="auto" w:fill="FFFFFF"/>
        </w:rPr>
        <w:t>, </w:t>
      </w:r>
      <w:r w:rsidRPr="00BB563D">
        <w:rPr>
          <w:rFonts w:cs="Times New Roman"/>
          <w:i/>
          <w:iCs/>
          <w:color w:val="222222"/>
          <w:szCs w:val="24"/>
          <w:shd w:val="clear" w:color="auto" w:fill="FFFFFF"/>
        </w:rPr>
        <w:t>12</w:t>
      </w:r>
      <w:r w:rsidRPr="00BB563D">
        <w:rPr>
          <w:rFonts w:cs="Times New Roman"/>
          <w:color w:val="222222"/>
          <w:szCs w:val="24"/>
          <w:shd w:val="clear" w:color="auto" w:fill="FFFFFF"/>
        </w:rPr>
        <w:t>(4), 749-756.</w:t>
      </w:r>
    </w:p>
    <w:p w14:paraId="276F46CC" w14:textId="77777777" w:rsidR="00930A6E" w:rsidRDefault="00930A6E" w:rsidP="00930A6E">
      <w:pPr>
        <w:autoSpaceDE w:val="0"/>
        <w:autoSpaceDN w:val="0"/>
        <w:adjustRightInd w:val="0"/>
        <w:spacing w:after="0" w:line="360" w:lineRule="auto"/>
        <w:ind w:right="72"/>
        <w:contextualSpacing/>
        <w:jc w:val="both"/>
        <w:rPr>
          <w:rFonts w:cs="Times New Roman"/>
          <w:b/>
          <w:szCs w:val="24"/>
        </w:rPr>
      </w:pPr>
    </w:p>
    <w:p w14:paraId="72FBD0E1" w14:textId="77777777" w:rsidR="00930A6E" w:rsidRDefault="00930A6E" w:rsidP="00930A6E">
      <w:pPr>
        <w:autoSpaceDE w:val="0"/>
        <w:autoSpaceDN w:val="0"/>
        <w:adjustRightInd w:val="0"/>
        <w:spacing w:after="0" w:line="360" w:lineRule="auto"/>
        <w:ind w:right="72"/>
        <w:contextualSpacing/>
        <w:jc w:val="both"/>
        <w:rPr>
          <w:rFonts w:cs="Times New Roman"/>
          <w:bCs/>
          <w:szCs w:val="24"/>
        </w:rPr>
      </w:pPr>
      <w:r w:rsidRPr="00520AE1">
        <w:rPr>
          <w:rFonts w:cs="Times New Roman"/>
          <w:b/>
          <w:szCs w:val="24"/>
        </w:rPr>
        <w:t xml:space="preserve">Recommended Reference Materials </w:t>
      </w:r>
    </w:p>
    <w:p w14:paraId="41894099" w14:textId="77777777" w:rsidR="00930A6E" w:rsidRPr="00BB563D" w:rsidRDefault="00930A6E" w:rsidP="00930A6E">
      <w:pPr>
        <w:pStyle w:val="ListParagraph"/>
        <w:numPr>
          <w:ilvl w:val="0"/>
          <w:numId w:val="1"/>
        </w:numPr>
        <w:autoSpaceDE w:val="0"/>
        <w:autoSpaceDN w:val="0"/>
        <w:adjustRightInd w:val="0"/>
        <w:spacing w:after="0" w:line="300" w:lineRule="auto"/>
        <w:ind w:right="72"/>
        <w:jc w:val="both"/>
        <w:rPr>
          <w:rFonts w:cs="Times New Roman"/>
          <w:bCs/>
          <w:szCs w:val="24"/>
        </w:rPr>
      </w:pPr>
      <w:r w:rsidRPr="00BB563D">
        <w:rPr>
          <w:rFonts w:cs="Times New Roman"/>
          <w:color w:val="222222"/>
          <w:szCs w:val="24"/>
          <w:shd w:val="clear" w:color="auto" w:fill="FFFFFF"/>
        </w:rPr>
        <w:t xml:space="preserve">Garcia, S. N., </w:t>
      </w:r>
      <w:proofErr w:type="spellStart"/>
      <w:r w:rsidRPr="00BB563D">
        <w:rPr>
          <w:rFonts w:cs="Times New Roman"/>
          <w:color w:val="222222"/>
          <w:szCs w:val="24"/>
          <w:shd w:val="clear" w:color="auto" w:fill="FFFFFF"/>
        </w:rPr>
        <w:t>Osburn</w:t>
      </w:r>
      <w:proofErr w:type="spellEnd"/>
      <w:r w:rsidRPr="00BB563D">
        <w:rPr>
          <w:rFonts w:cs="Times New Roman"/>
          <w:color w:val="222222"/>
          <w:szCs w:val="24"/>
          <w:shd w:val="clear" w:color="auto" w:fill="FFFFFF"/>
        </w:rPr>
        <w:t>, B. I., &amp; Jay-Russell, M. T. (2020). One health for food safety, food security, and sustainable food production. </w:t>
      </w:r>
      <w:r w:rsidRPr="00BB563D">
        <w:rPr>
          <w:rFonts w:cs="Times New Roman"/>
          <w:i/>
          <w:iCs/>
          <w:color w:val="222222"/>
          <w:szCs w:val="24"/>
          <w:shd w:val="clear" w:color="auto" w:fill="FFFFFF"/>
        </w:rPr>
        <w:t>Frontiers in Sustainable Food Systems</w:t>
      </w:r>
      <w:r>
        <w:rPr>
          <w:rFonts w:cs="Times New Roman"/>
          <w:color w:val="222222"/>
          <w:szCs w:val="24"/>
          <w:shd w:val="clear" w:color="auto" w:fill="FFFFFF"/>
        </w:rPr>
        <w:t>,</w:t>
      </w:r>
    </w:p>
    <w:p w14:paraId="498006F9" w14:textId="77777777" w:rsidR="00930A6E" w:rsidRPr="00BB563D" w:rsidRDefault="00930A6E" w:rsidP="00930A6E">
      <w:pPr>
        <w:pStyle w:val="ListParagraph"/>
        <w:numPr>
          <w:ilvl w:val="0"/>
          <w:numId w:val="1"/>
        </w:numPr>
        <w:autoSpaceDE w:val="0"/>
        <w:autoSpaceDN w:val="0"/>
        <w:adjustRightInd w:val="0"/>
        <w:spacing w:after="0" w:line="300" w:lineRule="auto"/>
        <w:ind w:right="72"/>
        <w:jc w:val="both"/>
        <w:rPr>
          <w:rFonts w:cs="Times New Roman"/>
          <w:bCs/>
          <w:szCs w:val="24"/>
        </w:rPr>
      </w:pPr>
      <w:r w:rsidRPr="00BB563D">
        <w:rPr>
          <w:rFonts w:cs="Times New Roman"/>
          <w:color w:val="222222"/>
          <w:szCs w:val="24"/>
          <w:shd w:val="clear" w:color="auto" w:fill="FFFFFF"/>
        </w:rPr>
        <w:t>Fung, F., Wang, H. S., &amp; Menon, S. (2018). Food safety in the 21st century. </w:t>
      </w:r>
      <w:r w:rsidRPr="00BB563D">
        <w:rPr>
          <w:rFonts w:cs="Times New Roman"/>
          <w:i/>
          <w:iCs/>
          <w:color w:val="222222"/>
          <w:szCs w:val="24"/>
          <w:shd w:val="clear" w:color="auto" w:fill="FFFFFF"/>
        </w:rPr>
        <w:t>Biomedical journal</w:t>
      </w:r>
      <w:r w:rsidRPr="00BB563D">
        <w:rPr>
          <w:rFonts w:cs="Times New Roman"/>
          <w:color w:val="222222"/>
          <w:szCs w:val="24"/>
          <w:shd w:val="clear" w:color="auto" w:fill="FFFFFF"/>
        </w:rPr>
        <w:t>, </w:t>
      </w:r>
      <w:r w:rsidRPr="00BB563D">
        <w:rPr>
          <w:rFonts w:cs="Times New Roman"/>
          <w:i/>
          <w:iCs/>
          <w:color w:val="222222"/>
          <w:szCs w:val="24"/>
          <w:shd w:val="clear" w:color="auto" w:fill="FFFFFF"/>
        </w:rPr>
        <w:t>41</w:t>
      </w:r>
      <w:r w:rsidRPr="00BB563D">
        <w:rPr>
          <w:rFonts w:cs="Times New Roman"/>
          <w:color w:val="222222"/>
          <w:szCs w:val="24"/>
          <w:shd w:val="clear" w:color="auto" w:fill="FFFFFF"/>
        </w:rPr>
        <w:t>(2), 88-95.</w:t>
      </w:r>
    </w:p>
    <w:p w14:paraId="4F984CAE" w14:textId="77777777" w:rsidR="00930A6E" w:rsidRPr="00BB563D" w:rsidRDefault="00930A6E" w:rsidP="00930A6E">
      <w:pPr>
        <w:pStyle w:val="ListParagraph"/>
        <w:numPr>
          <w:ilvl w:val="0"/>
          <w:numId w:val="1"/>
        </w:numPr>
        <w:autoSpaceDE w:val="0"/>
        <w:autoSpaceDN w:val="0"/>
        <w:adjustRightInd w:val="0"/>
        <w:spacing w:after="0" w:line="300" w:lineRule="auto"/>
        <w:ind w:right="72"/>
        <w:jc w:val="both"/>
        <w:rPr>
          <w:rFonts w:cs="Times New Roman"/>
          <w:bCs/>
          <w:szCs w:val="24"/>
        </w:rPr>
      </w:pPr>
      <w:r w:rsidRPr="00BB563D">
        <w:rPr>
          <w:rFonts w:cs="Times New Roman"/>
          <w:color w:val="222222"/>
          <w:szCs w:val="24"/>
          <w:shd w:val="clear" w:color="auto" w:fill="FFFFFF"/>
        </w:rPr>
        <w:t xml:space="preserve">Ma, N. L., Peng, W., Soon, C. F., Hassim, M. F. N., Misbah, S., </w:t>
      </w:r>
      <w:proofErr w:type="spellStart"/>
      <w:r w:rsidRPr="00BB563D">
        <w:rPr>
          <w:rFonts w:cs="Times New Roman"/>
          <w:color w:val="222222"/>
          <w:szCs w:val="24"/>
          <w:shd w:val="clear" w:color="auto" w:fill="FFFFFF"/>
        </w:rPr>
        <w:t>Rahmat</w:t>
      </w:r>
      <w:proofErr w:type="spellEnd"/>
      <w:r w:rsidRPr="00BB563D">
        <w:rPr>
          <w:rFonts w:cs="Times New Roman"/>
          <w:color w:val="222222"/>
          <w:szCs w:val="24"/>
          <w:shd w:val="clear" w:color="auto" w:fill="FFFFFF"/>
        </w:rPr>
        <w:t xml:space="preserve">, Z &amp; </w:t>
      </w:r>
      <w:proofErr w:type="spellStart"/>
      <w:r w:rsidRPr="00BB563D">
        <w:rPr>
          <w:rFonts w:cs="Times New Roman"/>
          <w:color w:val="222222"/>
          <w:szCs w:val="24"/>
          <w:shd w:val="clear" w:color="auto" w:fill="FFFFFF"/>
        </w:rPr>
        <w:t>Sonne</w:t>
      </w:r>
      <w:proofErr w:type="spellEnd"/>
      <w:r w:rsidRPr="00BB563D">
        <w:rPr>
          <w:rFonts w:cs="Times New Roman"/>
          <w:color w:val="222222"/>
          <w:szCs w:val="24"/>
          <w:shd w:val="clear" w:color="auto" w:fill="FFFFFF"/>
        </w:rPr>
        <w:t>, C. (2021). Covid-19 pandemic in the lens of food safety and security. </w:t>
      </w:r>
      <w:r w:rsidRPr="00BB563D">
        <w:rPr>
          <w:rFonts w:cs="Times New Roman"/>
          <w:i/>
          <w:iCs/>
          <w:color w:val="222222"/>
          <w:szCs w:val="24"/>
          <w:shd w:val="clear" w:color="auto" w:fill="FFFFFF"/>
        </w:rPr>
        <w:t>Environmental research</w:t>
      </w:r>
      <w:r w:rsidRPr="00BB563D">
        <w:rPr>
          <w:rFonts w:cs="Times New Roman"/>
          <w:color w:val="222222"/>
          <w:szCs w:val="24"/>
          <w:shd w:val="clear" w:color="auto" w:fill="FFFFFF"/>
        </w:rPr>
        <w:t>, </w:t>
      </w:r>
      <w:r w:rsidRPr="00BB563D">
        <w:rPr>
          <w:rFonts w:cs="Times New Roman"/>
          <w:i/>
          <w:iCs/>
          <w:color w:val="222222"/>
          <w:szCs w:val="24"/>
          <w:shd w:val="clear" w:color="auto" w:fill="FFFFFF"/>
        </w:rPr>
        <w:t>193</w:t>
      </w:r>
      <w:r w:rsidRPr="00BB563D">
        <w:rPr>
          <w:rFonts w:cs="Times New Roman"/>
          <w:color w:val="222222"/>
          <w:szCs w:val="24"/>
          <w:shd w:val="clear" w:color="auto" w:fill="FFFFFF"/>
        </w:rPr>
        <w:t>, 110405.</w:t>
      </w:r>
    </w:p>
    <w:p w14:paraId="20C2A154" w14:textId="77777777" w:rsidR="00930A6E" w:rsidRPr="00BB563D" w:rsidRDefault="00930A6E" w:rsidP="00930A6E">
      <w:pPr>
        <w:pStyle w:val="ListParagraph"/>
        <w:numPr>
          <w:ilvl w:val="0"/>
          <w:numId w:val="1"/>
        </w:numPr>
        <w:autoSpaceDE w:val="0"/>
        <w:autoSpaceDN w:val="0"/>
        <w:adjustRightInd w:val="0"/>
        <w:spacing w:after="0" w:line="300" w:lineRule="auto"/>
        <w:ind w:right="72"/>
        <w:jc w:val="both"/>
        <w:rPr>
          <w:rFonts w:cs="Times New Roman"/>
          <w:bCs/>
          <w:szCs w:val="24"/>
        </w:rPr>
      </w:pPr>
      <w:proofErr w:type="spellStart"/>
      <w:r w:rsidRPr="00BB563D">
        <w:rPr>
          <w:rFonts w:cs="Times New Roman"/>
          <w:color w:val="222222"/>
          <w:szCs w:val="24"/>
          <w:shd w:val="clear" w:color="auto" w:fill="FFFFFF"/>
        </w:rPr>
        <w:t>Ejeromedoghene</w:t>
      </w:r>
      <w:proofErr w:type="spellEnd"/>
      <w:r w:rsidRPr="00BB563D">
        <w:rPr>
          <w:rFonts w:cs="Times New Roman"/>
          <w:color w:val="222222"/>
          <w:szCs w:val="24"/>
          <w:shd w:val="clear" w:color="auto" w:fill="FFFFFF"/>
        </w:rPr>
        <w:t xml:space="preserve">, O., </w:t>
      </w:r>
      <w:proofErr w:type="spellStart"/>
      <w:r w:rsidRPr="00BB563D">
        <w:rPr>
          <w:rFonts w:cs="Times New Roman"/>
          <w:color w:val="222222"/>
          <w:szCs w:val="24"/>
          <w:shd w:val="clear" w:color="auto" w:fill="FFFFFF"/>
        </w:rPr>
        <w:t>Tesi</w:t>
      </w:r>
      <w:proofErr w:type="spellEnd"/>
      <w:r w:rsidRPr="00BB563D">
        <w:rPr>
          <w:rFonts w:cs="Times New Roman"/>
          <w:color w:val="222222"/>
          <w:szCs w:val="24"/>
          <w:shd w:val="clear" w:color="auto" w:fill="FFFFFF"/>
        </w:rPr>
        <w:t xml:space="preserve">, J. N., </w:t>
      </w:r>
      <w:proofErr w:type="spellStart"/>
      <w:r w:rsidRPr="00BB563D">
        <w:rPr>
          <w:rFonts w:cs="Times New Roman"/>
          <w:color w:val="222222"/>
          <w:szCs w:val="24"/>
          <w:shd w:val="clear" w:color="auto" w:fill="FFFFFF"/>
        </w:rPr>
        <w:t>Uyanga</w:t>
      </w:r>
      <w:proofErr w:type="spellEnd"/>
      <w:r w:rsidRPr="00BB563D">
        <w:rPr>
          <w:rFonts w:cs="Times New Roman"/>
          <w:color w:val="222222"/>
          <w:szCs w:val="24"/>
          <w:shd w:val="clear" w:color="auto" w:fill="FFFFFF"/>
        </w:rPr>
        <w:t xml:space="preserve">, V. A., Adebayo, A. O., </w:t>
      </w:r>
      <w:proofErr w:type="spellStart"/>
      <w:r w:rsidRPr="00BB563D">
        <w:rPr>
          <w:rFonts w:cs="Times New Roman"/>
          <w:color w:val="222222"/>
          <w:szCs w:val="24"/>
          <w:shd w:val="clear" w:color="auto" w:fill="FFFFFF"/>
        </w:rPr>
        <w:t>Nwosisi</w:t>
      </w:r>
      <w:proofErr w:type="spellEnd"/>
      <w:r w:rsidRPr="00BB563D">
        <w:rPr>
          <w:rFonts w:cs="Times New Roman"/>
          <w:color w:val="222222"/>
          <w:szCs w:val="24"/>
          <w:shd w:val="clear" w:color="auto" w:fill="FFFFFF"/>
        </w:rPr>
        <w:t xml:space="preserve">, M. C., </w:t>
      </w:r>
      <w:proofErr w:type="spellStart"/>
      <w:r w:rsidRPr="00BB563D">
        <w:rPr>
          <w:rFonts w:cs="Times New Roman"/>
          <w:color w:val="222222"/>
          <w:szCs w:val="24"/>
          <w:shd w:val="clear" w:color="auto" w:fill="FFFFFF"/>
        </w:rPr>
        <w:t>Tesi</w:t>
      </w:r>
      <w:proofErr w:type="spellEnd"/>
      <w:r w:rsidRPr="00BB563D">
        <w:rPr>
          <w:rFonts w:cs="Times New Roman"/>
          <w:color w:val="222222"/>
          <w:szCs w:val="24"/>
          <w:shd w:val="clear" w:color="auto" w:fill="FFFFFF"/>
        </w:rPr>
        <w:t xml:space="preserve">, G. O., &amp; </w:t>
      </w:r>
      <w:proofErr w:type="spellStart"/>
      <w:r w:rsidRPr="00BB563D">
        <w:rPr>
          <w:rFonts w:cs="Times New Roman"/>
          <w:color w:val="222222"/>
          <w:szCs w:val="24"/>
          <w:shd w:val="clear" w:color="auto" w:fill="FFFFFF"/>
        </w:rPr>
        <w:t>Akinyeye</w:t>
      </w:r>
      <w:proofErr w:type="spellEnd"/>
      <w:r w:rsidRPr="00BB563D">
        <w:rPr>
          <w:rFonts w:cs="Times New Roman"/>
          <w:color w:val="222222"/>
          <w:szCs w:val="24"/>
          <w:shd w:val="clear" w:color="auto" w:fill="FFFFFF"/>
        </w:rPr>
        <w:t>, R. O. (2020). Food security and safety concerns in animal production and public health issues in Africa: A perspective of COVID-19 pandemic era. </w:t>
      </w:r>
      <w:r w:rsidRPr="00BB563D">
        <w:rPr>
          <w:rFonts w:cs="Times New Roman"/>
          <w:i/>
          <w:iCs/>
          <w:color w:val="222222"/>
          <w:szCs w:val="24"/>
          <w:shd w:val="clear" w:color="auto" w:fill="FFFFFF"/>
        </w:rPr>
        <w:t>Ethics, Medicine and Public Health</w:t>
      </w:r>
      <w:r w:rsidRPr="00BB563D">
        <w:rPr>
          <w:rFonts w:cs="Times New Roman"/>
          <w:color w:val="222222"/>
          <w:szCs w:val="24"/>
          <w:shd w:val="clear" w:color="auto" w:fill="FFFFFF"/>
        </w:rPr>
        <w:t>, </w:t>
      </w:r>
      <w:r w:rsidRPr="00BB563D">
        <w:rPr>
          <w:rFonts w:cs="Times New Roman"/>
          <w:i/>
          <w:iCs/>
          <w:color w:val="222222"/>
          <w:szCs w:val="24"/>
          <w:shd w:val="clear" w:color="auto" w:fill="FFFFFF"/>
        </w:rPr>
        <w:t>15</w:t>
      </w:r>
      <w:r w:rsidRPr="00BB563D">
        <w:rPr>
          <w:rFonts w:cs="Times New Roman"/>
          <w:color w:val="222222"/>
          <w:szCs w:val="24"/>
          <w:shd w:val="clear" w:color="auto" w:fill="FFFFFF"/>
        </w:rPr>
        <w:t>, 100600.</w:t>
      </w:r>
    </w:p>
    <w:p w14:paraId="65B3DF7E" w14:textId="77777777" w:rsidR="00930A6E" w:rsidRPr="00BB563D" w:rsidRDefault="00930A6E" w:rsidP="00930A6E">
      <w:pPr>
        <w:pStyle w:val="ListParagraph"/>
        <w:numPr>
          <w:ilvl w:val="0"/>
          <w:numId w:val="1"/>
        </w:numPr>
        <w:autoSpaceDE w:val="0"/>
        <w:autoSpaceDN w:val="0"/>
        <w:adjustRightInd w:val="0"/>
        <w:spacing w:after="0" w:line="300" w:lineRule="auto"/>
        <w:ind w:right="72"/>
        <w:jc w:val="both"/>
        <w:rPr>
          <w:rFonts w:cs="Times New Roman"/>
          <w:bCs/>
          <w:szCs w:val="24"/>
        </w:rPr>
      </w:pPr>
      <w:proofErr w:type="spellStart"/>
      <w:r w:rsidRPr="00BB563D">
        <w:rPr>
          <w:rFonts w:cs="Times New Roman"/>
          <w:color w:val="222222"/>
          <w:szCs w:val="24"/>
          <w:shd w:val="clear" w:color="auto" w:fill="FFFFFF"/>
        </w:rPr>
        <w:t>Raposo</w:t>
      </w:r>
      <w:proofErr w:type="spellEnd"/>
      <w:r w:rsidRPr="00BB563D">
        <w:rPr>
          <w:rFonts w:cs="Times New Roman"/>
          <w:color w:val="222222"/>
          <w:szCs w:val="24"/>
          <w:shd w:val="clear" w:color="auto" w:fill="FFFFFF"/>
        </w:rPr>
        <w:t xml:space="preserve">, A., Ramos, F., Raheem, D., Saraiva, A., &amp; </w:t>
      </w:r>
      <w:proofErr w:type="spellStart"/>
      <w:r w:rsidRPr="00BB563D">
        <w:rPr>
          <w:rFonts w:cs="Times New Roman"/>
          <w:color w:val="222222"/>
          <w:szCs w:val="24"/>
          <w:shd w:val="clear" w:color="auto" w:fill="FFFFFF"/>
        </w:rPr>
        <w:t>Carrascosa</w:t>
      </w:r>
      <w:proofErr w:type="spellEnd"/>
      <w:r w:rsidRPr="00BB563D">
        <w:rPr>
          <w:rFonts w:cs="Times New Roman"/>
          <w:color w:val="222222"/>
          <w:szCs w:val="24"/>
          <w:shd w:val="clear" w:color="auto" w:fill="FFFFFF"/>
        </w:rPr>
        <w:t>, C. (2021). Food safety, security, sustainability and nutrition as priority objectives of the food sector. </w:t>
      </w:r>
      <w:r w:rsidRPr="00BB563D">
        <w:rPr>
          <w:rFonts w:cs="Times New Roman"/>
          <w:i/>
          <w:iCs/>
          <w:color w:val="222222"/>
          <w:szCs w:val="24"/>
          <w:shd w:val="clear" w:color="auto" w:fill="FFFFFF"/>
        </w:rPr>
        <w:t>International Journal of Environmental Research and Public Health</w:t>
      </w:r>
      <w:r w:rsidRPr="00BB563D">
        <w:rPr>
          <w:rFonts w:cs="Times New Roman"/>
          <w:color w:val="222222"/>
          <w:szCs w:val="24"/>
          <w:shd w:val="clear" w:color="auto" w:fill="FFFFFF"/>
        </w:rPr>
        <w:t>, </w:t>
      </w:r>
      <w:r w:rsidRPr="00BB563D">
        <w:rPr>
          <w:rFonts w:cs="Times New Roman"/>
          <w:i/>
          <w:iCs/>
          <w:color w:val="222222"/>
          <w:szCs w:val="24"/>
          <w:shd w:val="clear" w:color="auto" w:fill="FFFFFF"/>
        </w:rPr>
        <w:t>18</w:t>
      </w:r>
      <w:r w:rsidRPr="00BB563D">
        <w:rPr>
          <w:rFonts w:cs="Times New Roman"/>
          <w:color w:val="222222"/>
          <w:szCs w:val="24"/>
          <w:shd w:val="clear" w:color="auto" w:fill="FFFFFF"/>
        </w:rPr>
        <w:t>(15), 8073.</w:t>
      </w:r>
    </w:p>
    <w:p w14:paraId="5E8B42E1" w14:textId="77777777" w:rsidR="004B2B29" w:rsidRDefault="004B2B29"/>
    <w:sectPr w:rsidR="004B2B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unga">
    <w:panose1 w:val="00000400000000000000"/>
    <w:charset w:val="00"/>
    <w:family w:val="swiss"/>
    <w:pitch w:val="variable"/>
    <w:sig w:usb0="004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BE19C5"/>
    <w:multiLevelType w:val="multilevel"/>
    <w:tmpl w:val="CABC312A"/>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lef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lef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left"/>
      <w:pPr>
        <w:ind w:left="6480" w:hanging="360"/>
      </w:pPr>
      <w:rPr>
        <w:strike w:val="0"/>
        <w:dstrike w:val="0"/>
        <w:u w:val="none"/>
        <w:effect w:val="none"/>
      </w:rPr>
    </w:lvl>
  </w:abstractNum>
  <w:abstractNum w:abstractNumId="1" w15:restartNumberingAfterBreak="0">
    <w:nsid w:val="75CF4D2A"/>
    <w:multiLevelType w:val="multilevel"/>
    <w:tmpl w:val="9CE6A362"/>
    <w:lvl w:ilvl="0">
      <w:start w:val="1"/>
      <w:numFmt w:val="decimal"/>
      <w:lvlText w:val="%1."/>
      <w:lvlJc w:val="left"/>
      <w:pPr>
        <w:ind w:left="720" w:hanging="360"/>
      </w:pPr>
      <w:rPr>
        <w:rFonts w:ascii="Times New Roman" w:eastAsia="Calibri" w:hAnsi="Times New Roman" w:cs="Times New Roman"/>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lef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lef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left"/>
      <w:pPr>
        <w:ind w:left="6480" w:hanging="360"/>
      </w:pPr>
      <w:rPr>
        <w:strike w:val="0"/>
        <w:dstrike w:val="0"/>
        <w:u w:val="none"/>
        <w:effect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A6E"/>
    <w:rsid w:val="004B2B29"/>
    <w:rsid w:val="00930A6E"/>
    <w:rsid w:val="00C55B5E"/>
    <w:rsid w:val="00DA3E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C9DCC2"/>
  <w15:chartTrackingRefBased/>
  <w15:docId w15:val="{BB1786C9-47B0-4725-A6AF-461897748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0A6E"/>
    <w:pPr>
      <w:spacing w:after="200" w:line="276" w:lineRule="auto"/>
    </w:pPr>
    <w:rPr>
      <w:rFonts w:ascii="Times New Roman" w:eastAsia="Calibri" w:hAnsi="Times New Roman" w:cs="Tunga"/>
      <w:sz w:val="24"/>
    </w:rPr>
  </w:style>
  <w:style w:type="paragraph" w:styleId="Heading1">
    <w:name w:val="heading 1"/>
    <w:basedOn w:val="Normal"/>
    <w:next w:val="Normal"/>
    <w:link w:val="Heading1Char"/>
    <w:uiPriority w:val="9"/>
    <w:qFormat/>
    <w:rsid w:val="00DA3EC6"/>
    <w:pPr>
      <w:keepNext/>
      <w:keepLines/>
      <w:spacing w:before="240" w:after="0"/>
      <w:outlineLvl w:val="0"/>
    </w:pPr>
    <w:rPr>
      <w:rFonts w:asciiTheme="majorHAnsi" w:eastAsiaTheme="majorEastAsia" w:hAnsiTheme="majorHAnsi" w:cstheme="majorBidi"/>
      <w:color w:val="000000" w:themeColor="text1"/>
      <w:sz w:val="32"/>
      <w:szCs w:val="32"/>
    </w:rPr>
  </w:style>
  <w:style w:type="paragraph" w:styleId="Heading2">
    <w:name w:val="heading 2"/>
    <w:basedOn w:val="Normal"/>
    <w:next w:val="Normal"/>
    <w:link w:val="Heading2Char"/>
    <w:uiPriority w:val="9"/>
    <w:qFormat/>
    <w:rsid w:val="00C55B5E"/>
    <w:pPr>
      <w:keepNext/>
      <w:keepLines/>
      <w:spacing w:before="40" w:after="0" w:line="240" w:lineRule="auto"/>
      <w:outlineLvl w:val="1"/>
    </w:pPr>
    <w:rPr>
      <w:b/>
      <w:color w:val="000000" w:themeColor="text1"/>
      <w:sz w:val="26"/>
      <w:szCs w:val="26"/>
    </w:rPr>
  </w:style>
  <w:style w:type="paragraph" w:styleId="Heading4">
    <w:name w:val="heading 4"/>
    <w:basedOn w:val="Normal"/>
    <w:next w:val="Normal"/>
    <w:link w:val="Heading4Char"/>
    <w:uiPriority w:val="9"/>
    <w:semiHidden/>
    <w:unhideWhenUsed/>
    <w:qFormat/>
    <w:rsid w:val="00DA3EC6"/>
    <w:pPr>
      <w:keepNext/>
      <w:keepLines/>
      <w:spacing w:before="40" w:after="0"/>
      <w:outlineLvl w:val="3"/>
    </w:pPr>
    <w:rPr>
      <w:rFonts w:asciiTheme="majorHAnsi" w:eastAsiaTheme="majorEastAsia" w:hAnsiTheme="majorHAnsi" w:cstheme="majorBidi"/>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Heading1"/>
    <w:link w:val="Style2Char"/>
    <w:autoRedefine/>
    <w:qFormat/>
    <w:rsid w:val="00DA3EC6"/>
  </w:style>
  <w:style w:type="character" w:customStyle="1" w:styleId="Style2Char">
    <w:name w:val="Style2 Char"/>
    <w:basedOn w:val="Heading1Char"/>
    <w:link w:val="Style2"/>
    <w:rsid w:val="00DA3EC6"/>
    <w:rPr>
      <w:rFonts w:asciiTheme="majorHAnsi" w:eastAsiaTheme="majorEastAsia" w:hAnsiTheme="majorHAnsi" w:cstheme="majorBidi"/>
      <w:color w:val="000000" w:themeColor="text1"/>
      <w:sz w:val="32"/>
      <w:szCs w:val="32"/>
    </w:rPr>
  </w:style>
  <w:style w:type="character" w:customStyle="1" w:styleId="Heading1Char">
    <w:name w:val="Heading 1 Char"/>
    <w:basedOn w:val="DefaultParagraphFont"/>
    <w:link w:val="Heading1"/>
    <w:uiPriority w:val="9"/>
    <w:rsid w:val="00DA3EC6"/>
    <w:rPr>
      <w:rFonts w:asciiTheme="majorHAnsi" w:eastAsiaTheme="majorEastAsia" w:hAnsiTheme="majorHAnsi" w:cstheme="majorBidi"/>
      <w:color w:val="000000" w:themeColor="text1"/>
      <w:sz w:val="32"/>
      <w:szCs w:val="32"/>
    </w:rPr>
  </w:style>
  <w:style w:type="paragraph" w:customStyle="1" w:styleId="Style3">
    <w:name w:val="Style3"/>
    <w:basedOn w:val="Heading1"/>
    <w:link w:val="Style3Char"/>
    <w:qFormat/>
    <w:rsid w:val="00DA3EC6"/>
  </w:style>
  <w:style w:type="character" w:customStyle="1" w:styleId="Style3Char">
    <w:name w:val="Style3 Char"/>
    <w:basedOn w:val="Heading1Char"/>
    <w:link w:val="Style3"/>
    <w:rsid w:val="00DA3EC6"/>
    <w:rPr>
      <w:rFonts w:asciiTheme="majorHAnsi" w:eastAsiaTheme="majorEastAsia" w:hAnsiTheme="majorHAnsi" w:cstheme="majorBidi"/>
      <w:color w:val="000000" w:themeColor="text1"/>
      <w:sz w:val="32"/>
      <w:szCs w:val="32"/>
    </w:rPr>
  </w:style>
  <w:style w:type="character" w:customStyle="1" w:styleId="Heading4Char">
    <w:name w:val="Heading 4 Char"/>
    <w:basedOn w:val="DefaultParagraphFont"/>
    <w:link w:val="Heading4"/>
    <w:uiPriority w:val="9"/>
    <w:semiHidden/>
    <w:rsid w:val="00DA3EC6"/>
    <w:rPr>
      <w:rFonts w:asciiTheme="majorHAnsi" w:eastAsiaTheme="majorEastAsia" w:hAnsiTheme="majorHAnsi" w:cstheme="majorBidi"/>
      <w:i/>
      <w:iCs/>
      <w:color w:val="000000" w:themeColor="text1"/>
    </w:rPr>
  </w:style>
  <w:style w:type="character" w:customStyle="1" w:styleId="Heading2Char">
    <w:name w:val="Heading 2 Char"/>
    <w:link w:val="Heading2"/>
    <w:uiPriority w:val="9"/>
    <w:rsid w:val="00C55B5E"/>
    <w:rPr>
      <w:rFonts w:ascii="Times New Roman" w:hAnsi="Times New Roman"/>
      <w:b/>
      <w:color w:val="000000" w:themeColor="text1"/>
      <w:sz w:val="26"/>
      <w:szCs w:val="26"/>
    </w:rPr>
  </w:style>
  <w:style w:type="paragraph" w:styleId="ListParagraph">
    <w:name w:val="List Paragraph"/>
    <w:basedOn w:val="Normal"/>
    <w:uiPriority w:val="34"/>
    <w:qFormat/>
    <w:rsid w:val="00930A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pherestandards.org/handboo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599</Words>
  <Characters>3841</Characters>
  <Application>Microsoft Office Word</Application>
  <DocSecurity>0</DocSecurity>
  <Lines>62</Lines>
  <Paragraphs>23</Paragraphs>
  <ScaleCrop>false</ScaleCrop>
  <Company/>
  <LinksUpToDate>false</LinksUpToDate>
  <CharactersWithSpaces>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Salvias</dc:creator>
  <cp:keywords/>
  <dc:description/>
  <cp:lastModifiedBy>Salvias</cp:lastModifiedBy>
  <cp:revision>1</cp:revision>
  <dcterms:created xsi:type="dcterms:W3CDTF">2024-04-16T10:30:00Z</dcterms:created>
  <dcterms:modified xsi:type="dcterms:W3CDTF">2024-04-16T10:31:00Z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4382e188-cfad-48cb-94db-38cefb3ebb95</vt:lpwstr>
  </property>
</Properties>
</file>