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65AF0" w14:textId="77777777" w:rsidR="000478FB" w:rsidRPr="00370AA2" w:rsidRDefault="000478FB" w:rsidP="000478FB">
      <w:pPr>
        <w:pStyle w:val="Heading2"/>
      </w:pPr>
      <w:bookmarkStart w:id="0" w:name="_Toc134044880"/>
      <w:r w:rsidRPr="00370AA2">
        <w:t>POH 119: INFECTION PREVENTION AND CONTROL IN PANDEMICS</w:t>
      </w:r>
      <w:bookmarkEnd w:id="0"/>
      <w:r w:rsidRPr="00370AA2">
        <w:t xml:space="preserve"> </w:t>
      </w:r>
    </w:p>
    <w:p w14:paraId="4A2B0E56" w14:textId="77777777" w:rsidR="000478FB" w:rsidRDefault="000478FB" w:rsidP="000478FB">
      <w:pPr>
        <w:spacing w:after="0" w:line="360" w:lineRule="auto"/>
        <w:jc w:val="both"/>
        <w:rPr>
          <w:rFonts w:cs="Times New Roman"/>
          <w:b/>
          <w:szCs w:val="24"/>
        </w:rPr>
      </w:pPr>
      <w:bookmarkStart w:id="1" w:name="_GoBack"/>
      <w:bookmarkEnd w:id="1"/>
    </w:p>
    <w:p w14:paraId="13F82784" w14:textId="06F6EE92" w:rsidR="000478FB" w:rsidRPr="00E63992" w:rsidRDefault="000478FB" w:rsidP="000478FB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Module Overview</w:t>
      </w:r>
      <w:r w:rsidRPr="00E63992">
        <w:rPr>
          <w:rFonts w:cs="Times New Roman"/>
          <w:b/>
          <w:szCs w:val="24"/>
        </w:rPr>
        <w:t xml:space="preserve"> </w:t>
      </w:r>
    </w:p>
    <w:p w14:paraId="3210A96D" w14:textId="77777777" w:rsidR="000478FB" w:rsidRDefault="000478FB" w:rsidP="000478F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Key terms in IPC: infection, antibiotics, antimicrobials, isolation, quarantine, vaccination, prophylaxis, goals of IPC; standard precautions, i</w:t>
      </w:r>
      <w:r w:rsidRPr="00E63992">
        <w:rPr>
          <w:rFonts w:cs="Times New Roman"/>
          <w:szCs w:val="24"/>
        </w:rPr>
        <w:t xml:space="preserve">ntroduction to </w:t>
      </w:r>
      <w:r>
        <w:rPr>
          <w:rFonts w:cs="Times New Roman"/>
          <w:szCs w:val="24"/>
        </w:rPr>
        <w:t>i</w:t>
      </w:r>
      <w:r w:rsidRPr="00E63992">
        <w:rPr>
          <w:rFonts w:cs="Times New Roman"/>
          <w:szCs w:val="24"/>
        </w:rPr>
        <w:t xml:space="preserve">nfection </w:t>
      </w:r>
      <w:r>
        <w:rPr>
          <w:rFonts w:cs="Times New Roman"/>
          <w:szCs w:val="24"/>
        </w:rPr>
        <w:t>p</w:t>
      </w:r>
      <w:r w:rsidRPr="00E63992">
        <w:rPr>
          <w:rFonts w:cs="Times New Roman"/>
          <w:szCs w:val="24"/>
        </w:rPr>
        <w:t xml:space="preserve">revention </w:t>
      </w:r>
      <w:r>
        <w:rPr>
          <w:rFonts w:cs="Times New Roman"/>
          <w:szCs w:val="24"/>
        </w:rPr>
        <w:t>c</w:t>
      </w:r>
      <w:r w:rsidRPr="00E63992">
        <w:rPr>
          <w:rFonts w:cs="Times New Roman"/>
          <w:szCs w:val="24"/>
        </w:rPr>
        <w:t xml:space="preserve">ontrol; </w:t>
      </w:r>
      <w:r>
        <w:rPr>
          <w:rFonts w:cs="Times New Roman"/>
          <w:szCs w:val="24"/>
        </w:rPr>
        <w:t>h</w:t>
      </w:r>
      <w:r w:rsidRPr="00E63992">
        <w:rPr>
          <w:rFonts w:cs="Times New Roman"/>
          <w:szCs w:val="24"/>
        </w:rPr>
        <w:t>ealthcare-</w:t>
      </w:r>
      <w:r>
        <w:rPr>
          <w:rFonts w:cs="Times New Roman"/>
          <w:szCs w:val="24"/>
        </w:rPr>
        <w:t>a</w:t>
      </w:r>
      <w:r w:rsidRPr="00E63992">
        <w:rPr>
          <w:rFonts w:cs="Times New Roman"/>
          <w:szCs w:val="24"/>
        </w:rPr>
        <w:t xml:space="preserve">ssociated </w:t>
      </w:r>
      <w:r>
        <w:rPr>
          <w:rFonts w:cs="Times New Roman"/>
          <w:szCs w:val="24"/>
        </w:rPr>
        <w:t>i</w:t>
      </w:r>
      <w:r w:rsidRPr="00E63992">
        <w:rPr>
          <w:rFonts w:cs="Times New Roman"/>
          <w:szCs w:val="24"/>
        </w:rPr>
        <w:t xml:space="preserve">nfections; </w:t>
      </w:r>
      <w:r>
        <w:rPr>
          <w:rFonts w:cs="Times New Roman"/>
          <w:szCs w:val="24"/>
        </w:rPr>
        <w:t>p</w:t>
      </w:r>
      <w:r w:rsidRPr="00E63992">
        <w:rPr>
          <w:rFonts w:cs="Times New Roman"/>
          <w:szCs w:val="24"/>
        </w:rPr>
        <w:t xml:space="preserve">rinciples  of IPC; standard precautions; </w:t>
      </w:r>
      <w:r>
        <w:rPr>
          <w:rFonts w:cs="Times New Roman"/>
          <w:szCs w:val="24"/>
        </w:rPr>
        <w:t>h</w:t>
      </w:r>
      <w:r w:rsidRPr="00E63992">
        <w:rPr>
          <w:rFonts w:cs="Times New Roman"/>
          <w:szCs w:val="24"/>
        </w:rPr>
        <w:t xml:space="preserve">ealthcare </w:t>
      </w:r>
      <w:r>
        <w:rPr>
          <w:rFonts w:cs="Times New Roman"/>
          <w:szCs w:val="24"/>
        </w:rPr>
        <w:t>w</w:t>
      </w:r>
      <w:r w:rsidRPr="00E63992">
        <w:rPr>
          <w:rFonts w:cs="Times New Roman"/>
          <w:szCs w:val="24"/>
        </w:rPr>
        <w:t xml:space="preserve">aste </w:t>
      </w:r>
      <w:r>
        <w:rPr>
          <w:rFonts w:cs="Times New Roman"/>
          <w:szCs w:val="24"/>
        </w:rPr>
        <w:t>m</w:t>
      </w:r>
      <w:r w:rsidRPr="00E63992">
        <w:rPr>
          <w:rFonts w:cs="Times New Roman"/>
          <w:szCs w:val="24"/>
        </w:rPr>
        <w:t xml:space="preserve">anagement; </w:t>
      </w:r>
      <w:r>
        <w:rPr>
          <w:rFonts w:cs="Times New Roman"/>
          <w:szCs w:val="24"/>
        </w:rPr>
        <w:t>d</w:t>
      </w:r>
      <w:r w:rsidRPr="00E63992">
        <w:rPr>
          <w:rFonts w:cs="Times New Roman"/>
          <w:szCs w:val="24"/>
        </w:rPr>
        <w:t xml:space="preserve">isinfection, </w:t>
      </w:r>
      <w:r>
        <w:rPr>
          <w:rFonts w:cs="Times New Roman"/>
          <w:szCs w:val="24"/>
        </w:rPr>
        <w:t>s</w:t>
      </w:r>
      <w:r w:rsidRPr="00E63992">
        <w:rPr>
          <w:rFonts w:cs="Times New Roman"/>
          <w:szCs w:val="24"/>
        </w:rPr>
        <w:t xml:space="preserve">terilization and </w:t>
      </w:r>
      <w:r>
        <w:rPr>
          <w:rFonts w:cs="Times New Roman"/>
          <w:szCs w:val="24"/>
        </w:rPr>
        <w:t>a</w:t>
      </w:r>
      <w:r w:rsidRPr="00E63992">
        <w:rPr>
          <w:rFonts w:cs="Times New Roman"/>
          <w:szCs w:val="24"/>
        </w:rPr>
        <w:t xml:space="preserve">septic </w:t>
      </w:r>
      <w:r>
        <w:rPr>
          <w:rFonts w:cs="Times New Roman"/>
          <w:szCs w:val="24"/>
        </w:rPr>
        <w:t>t</w:t>
      </w:r>
      <w:r w:rsidRPr="00E63992">
        <w:rPr>
          <w:rFonts w:cs="Times New Roman"/>
          <w:szCs w:val="24"/>
        </w:rPr>
        <w:t xml:space="preserve">echniques; </w:t>
      </w:r>
      <w:r>
        <w:rPr>
          <w:rFonts w:cs="Times New Roman"/>
          <w:szCs w:val="24"/>
        </w:rPr>
        <w:t>moments of h</w:t>
      </w:r>
      <w:r w:rsidRPr="00E63992">
        <w:rPr>
          <w:rFonts w:cs="Times New Roman"/>
          <w:szCs w:val="24"/>
        </w:rPr>
        <w:t xml:space="preserve">and hygiene; </w:t>
      </w:r>
      <w:r>
        <w:rPr>
          <w:rFonts w:cs="Times New Roman"/>
          <w:szCs w:val="24"/>
        </w:rPr>
        <w:t>p</w:t>
      </w:r>
      <w:r w:rsidRPr="00E63992">
        <w:rPr>
          <w:rFonts w:cs="Times New Roman"/>
          <w:szCs w:val="24"/>
        </w:rPr>
        <w:t xml:space="preserve">ersonal </w:t>
      </w:r>
      <w:r>
        <w:rPr>
          <w:rFonts w:cs="Times New Roman"/>
          <w:szCs w:val="24"/>
        </w:rPr>
        <w:t>p</w:t>
      </w:r>
      <w:r w:rsidRPr="00E63992">
        <w:rPr>
          <w:rFonts w:cs="Times New Roman"/>
          <w:szCs w:val="24"/>
        </w:rPr>
        <w:t xml:space="preserve">rotective </w:t>
      </w:r>
      <w:r>
        <w:rPr>
          <w:rFonts w:cs="Times New Roman"/>
          <w:szCs w:val="24"/>
        </w:rPr>
        <w:t>e</w:t>
      </w:r>
      <w:r w:rsidRPr="00E63992">
        <w:rPr>
          <w:rFonts w:cs="Times New Roman"/>
          <w:szCs w:val="24"/>
        </w:rPr>
        <w:t xml:space="preserve">quipment types and indications; </w:t>
      </w:r>
      <w:r>
        <w:rPr>
          <w:rFonts w:cs="Times New Roman"/>
          <w:szCs w:val="24"/>
        </w:rPr>
        <w:t>p</w:t>
      </w:r>
      <w:r w:rsidRPr="00E63992">
        <w:rPr>
          <w:rFonts w:cs="Times New Roman"/>
          <w:szCs w:val="24"/>
        </w:rPr>
        <w:t xml:space="preserve">ost </w:t>
      </w:r>
      <w:r>
        <w:rPr>
          <w:rFonts w:cs="Times New Roman"/>
          <w:szCs w:val="24"/>
        </w:rPr>
        <w:t>e</w:t>
      </w:r>
      <w:r w:rsidRPr="00E63992">
        <w:rPr>
          <w:rFonts w:cs="Times New Roman"/>
          <w:szCs w:val="24"/>
        </w:rPr>
        <w:t xml:space="preserve">xposure </w:t>
      </w:r>
      <w:r>
        <w:rPr>
          <w:rFonts w:cs="Times New Roman"/>
          <w:szCs w:val="24"/>
        </w:rPr>
        <w:t>p</w:t>
      </w:r>
      <w:r w:rsidRPr="00E63992">
        <w:rPr>
          <w:rFonts w:cs="Times New Roman"/>
          <w:szCs w:val="24"/>
        </w:rPr>
        <w:t xml:space="preserve">rophylaxis; </w:t>
      </w:r>
      <w:bookmarkStart w:id="2" w:name="_Hlk125703773"/>
      <w:r w:rsidRPr="00E63992">
        <w:rPr>
          <w:rFonts w:cs="Times New Roman"/>
          <w:szCs w:val="24"/>
        </w:rPr>
        <w:t xml:space="preserve">quarantine and isolation; IPC guidelines, elements and components; </w:t>
      </w:r>
      <w:r>
        <w:rPr>
          <w:rFonts w:cs="Times New Roman"/>
          <w:szCs w:val="24"/>
        </w:rPr>
        <w:t>a</w:t>
      </w:r>
      <w:r w:rsidRPr="00E63992">
        <w:rPr>
          <w:rFonts w:cs="Times New Roman"/>
          <w:szCs w:val="24"/>
        </w:rPr>
        <w:t xml:space="preserve">dministrative controls and policies for IPC; </w:t>
      </w:r>
      <w:r>
        <w:rPr>
          <w:rFonts w:cs="Times New Roman"/>
          <w:szCs w:val="24"/>
        </w:rPr>
        <w:t>h</w:t>
      </w:r>
      <w:r w:rsidRPr="00E63992">
        <w:rPr>
          <w:rFonts w:cs="Times New Roman"/>
          <w:szCs w:val="24"/>
        </w:rPr>
        <w:t xml:space="preserve">ealthcare-associated infection surveillance; </w:t>
      </w:r>
      <w:r>
        <w:rPr>
          <w:rFonts w:cs="Times New Roman"/>
          <w:szCs w:val="24"/>
        </w:rPr>
        <w:t>rational use of antimicrobials during pandemics, One Health approaches in IPC, IPC in anthrax</w:t>
      </w:r>
    </w:p>
    <w:p w14:paraId="44409676" w14:textId="77777777" w:rsidR="000478FB" w:rsidRPr="004B6D87" w:rsidRDefault="000478FB" w:rsidP="000478F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Cs w:val="24"/>
        </w:rPr>
      </w:pPr>
    </w:p>
    <w:bookmarkEnd w:id="2"/>
    <w:p w14:paraId="7CD8FADD" w14:textId="77777777" w:rsidR="000478FB" w:rsidRPr="00E63992" w:rsidRDefault="000478FB" w:rsidP="000478FB">
      <w:pPr>
        <w:keepNext/>
        <w:spacing w:after="0" w:line="360" w:lineRule="auto"/>
        <w:jc w:val="both"/>
        <w:rPr>
          <w:rFonts w:cs="Times New Roman"/>
          <w:b/>
          <w:szCs w:val="24"/>
          <w:lang w:val="en-GB"/>
        </w:rPr>
      </w:pPr>
      <w:r w:rsidRPr="00E63992">
        <w:rPr>
          <w:rFonts w:cs="Times New Roman"/>
          <w:b/>
          <w:szCs w:val="24"/>
          <w:lang w:val="en-GB"/>
        </w:rPr>
        <w:t>Mode of Delivery</w:t>
      </w:r>
    </w:p>
    <w:p w14:paraId="2B1CF3DC" w14:textId="77777777" w:rsidR="000478FB" w:rsidRDefault="000478FB" w:rsidP="000478FB">
      <w:pPr>
        <w:spacing w:after="0" w:line="360" w:lineRule="auto"/>
        <w:jc w:val="both"/>
        <w:rPr>
          <w:rFonts w:cs="Times New Roman"/>
          <w:szCs w:val="24"/>
        </w:rPr>
      </w:pPr>
      <w:r w:rsidRPr="00E63992">
        <w:rPr>
          <w:rFonts w:cs="Times New Roman"/>
          <w:szCs w:val="24"/>
        </w:rPr>
        <w:t>This includes lectures: problem-based learning using interactive tutorials, small group discussions and written assignments, plenary presentations; case studies, role plays, skits, individual reflection, simulation exercises, experiential learning through independent/reflective study and field visits and placements; and online peer discussions using video clips and conferencing.</w:t>
      </w:r>
    </w:p>
    <w:p w14:paraId="10C41744" w14:textId="77777777" w:rsidR="000478FB" w:rsidRPr="004B6D87" w:rsidRDefault="000478FB" w:rsidP="000478FB">
      <w:pPr>
        <w:spacing w:after="0" w:line="360" w:lineRule="auto"/>
        <w:jc w:val="both"/>
        <w:rPr>
          <w:rFonts w:cs="Times New Roman"/>
          <w:sz w:val="6"/>
          <w:szCs w:val="24"/>
        </w:rPr>
      </w:pPr>
    </w:p>
    <w:p w14:paraId="4DBD4519" w14:textId="77777777" w:rsidR="000478FB" w:rsidRPr="00E63992" w:rsidRDefault="000478FB" w:rsidP="000478FB">
      <w:pPr>
        <w:spacing w:after="0" w:line="360" w:lineRule="auto"/>
        <w:jc w:val="both"/>
        <w:rPr>
          <w:rFonts w:cs="Times New Roman"/>
          <w:b/>
          <w:szCs w:val="24"/>
          <w:lang w:val="en-GB"/>
        </w:rPr>
      </w:pPr>
      <w:r w:rsidRPr="00E63992">
        <w:rPr>
          <w:rFonts w:cs="Times New Roman"/>
          <w:b/>
          <w:szCs w:val="24"/>
          <w:lang w:val="en-GB"/>
        </w:rPr>
        <w:t>Instructional Materials and/or Equipment</w:t>
      </w:r>
    </w:p>
    <w:p w14:paraId="7110AF2A" w14:textId="77777777" w:rsidR="000478FB" w:rsidRPr="00E63992" w:rsidRDefault="000478FB" w:rsidP="000478FB">
      <w:pPr>
        <w:spacing w:after="0" w:line="360" w:lineRule="auto"/>
        <w:jc w:val="both"/>
        <w:rPr>
          <w:rFonts w:cs="Times New Roman"/>
          <w:szCs w:val="24"/>
        </w:rPr>
      </w:pPr>
      <w:r w:rsidRPr="00E63992">
        <w:rPr>
          <w:rFonts w:cs="Times New Roman"/>
          <w:i/>
          <w:szCs w:val="24"/>
        </w:rPr>
        <w:t>Materials:</w:t>
      </w:r>
      <w:r w:rsidRPr="00E63992">
        <w:rPr>
          <w:rFonts w:cs="Times New Roman"/>
          <w:szCs w:val="24"/>
        </w:rPr>
        <w:t xml:space="preserve"> Lecture notes and slides, video clips, </w:t>
      </w:r>
      <w:r>
        <w:rPr>
          <w:rFonts w:cs="Times New Roman"/>
          <w:szCs w:val="24"/>
        </w:rPr>
        <w:t>h</w:t>
      </w:r>
      <w:r w:rsidRPr="00E63992">
        <w:rPr>
          <w:rFonts w:cs="Times New Roman"/>
          <w:szCs w:val="24"/>
        </w:rPr>
        <w:t xml:space="preserve">andouts, case studies, </w:t>
      </w:r>
      <w:r>
        <w:rPr>
          <w:rFonts w:cs="Times New Roman"/>
          <w:szCs w:val="24"/>
        </w:rPr>
        <w:t>r</w:t>
      </w:r>
      <w:r w:rsidRPr="00E63992">
        <w:rPr>
          <w:rFonts w:cs="Times New Roman"/>
          <w:szCs w:val="24"/>
        </w:rPr>
        <w:t>eference materials (</w:t>
      </w:r>
      <w:r>
        <w:rPr>
          <w:rFonts w:cs="Times New Roman"/>
          <w:szCs w:val="24"/>
        </w:rPr>
        <w:t>text</w:t>
      </w:r>
      <w:r w:rsidRPr="00E63992">
        <w:rPr>
          <w:rFonts w:cs="Times New Roman"/>
          <w:szCs w:val="24"/>
        </w:rPr>
        <w:t xml:space="preserve">books, journals, policy document guidelines), institutional placements and field visits </w:t>
      </w:r>
    </w:p>
    <w:p w14:paraId="281CCB5B" w14:textId="77777777" w:rsidR="000478FB" w:rsidRPr="00E63992" w:rsidRDefault="000478FB" w:rsidP="000478FB">
      <w:pPr>
        <w:spacing w:after="0" w:line="360" w:lineRule="auto"/>
        <w:jc w:val="both"/>
        <w:rPr>
          <w:rFonts w:cs="Times New Roman"/>
          <w:szCs w:val="24"/>
        </w:rPr>
      </w:pPr>
      <w:r w:rsidRPr="00E63992">
        <w:rPr>
          <w:rFonts w:cs="Times New Roman"/>
          <w:i/>
          <w:szCs w:val="24"/>
        </w:rPr>
        <w:t>Equipment:</w:t>
      </w:r>
      <w:r w:rsidRPr="00E63992">
        <w:rPr>
          <w:rFonts w:cs="Times New Roman"/>
          <w:szCs w:val="24"/>
        </w:rPr>
        <w:t xml:space="preserve"> LCD projectors, laptops, whiteboard, </w:t>
      </w:r>
      <w:r>
        <w:rPr>
          <w:rFonts w:cs="Times New Roman"/>
          <w:szCs w:val="24"/>
        </w:rPr>
        <w:t>m</w:t>
      </w:r>
      <w:r w:rsidRPr="00E63992">
        <w:rPr>
          <w:rFonts w:cs="Times New Roman"/>
          <w:szCs w:val="24"/>
        </w:rPr>
        <w:t xml:space="preserve">arkers and flipcharts, LCD, </w:t>
      </w:r>
      <w:r>
        <w:rPr>
          <w:rFonts w:cs="Times New Roman"/>
          <w:szCs w:val="24"/>
        </w:rPr>
        <w:t>printers</w:t>
      </w:r>
      <w:r w:rsidRPr="00E63992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Internet</w:t>
      </w:r>
      <w:r w:rsidRPr="00E63992">
        <w:rPr>
          <w:rFonts w:cs="Times New Roman"/>
          <w:szCs w:val="24"/>
        </w:rPr>
        <w:t xml:space="preserve"> access for e-resources</w:t>
      </w:r>
    </w:p>
    <w:p w14:paraId="73B22784" w14:textId="77777777" w:rsidR="000478FB" w:rsidRDefault="000478FB" w:rsidP="000478FB">
      <w:pPr>
        <w:spacing w:after="0" w:line="360" w:lineRule="auto"/>
        <w:jc w:val="both"/>
        <w:rPr>
          <w:rFonts w:cs="Times New Roman"/>
          <w:b/>
          <w:szCs w:val="24"/>
          <w:lang w:val="en-GB"/>
        </w:rPr>
      </w:pPr>
      <w:r w:rsidRPr="00E63992">
        <w:rPr>
          <w:rFonts w:cs="Times New Roman"/>
          <w:b/>
          <w:szCs w:val="24"/>
          <w:lang w:val="en-GB"/>
        </w:rPr>
        <w:t>Core Reference Materials</w:t>
      </w:r>
    </w:p>
    <w:p w14:paraId="14A2DB68" w14:textId="77777777" w:rsidR="000478FB" w:rsidRPr="004D24B5" w:rsidRDefault="000478FB" w:rsidP="000478FB">
      <w:pPr>
        <w:pStyle w:val="ListParagraph"/>
        <w:numPr>
          <w:ilvl w:val="0"/>
          <w:numId w:val="1"/>
        </w:numPr>
        <w:tabs>
          <w:tab w:val="left" w:pos="450"/>
          <w:tab w:val="left" w:pos="630"/>
        </w:tabs>
        <w:spacing w:after="0" w:line="300" w:lineRule="auto"/>
        <w:jc w:val="both"/>
        <w:rPr>
          <w:rFonts w:cs="Times New Roman"/>
          <w:color w:val="222222"/>
          <w:szCs w:val="24"/>
          <w:shd w:val="clear" w:color="auto" w:fill="FFFFFF"/>
        </w:rPr>
      </w:pPr>
      <w:r w:rsidRPr="004D24B5">
        <w:rPr>
          <w:rFonts w:cs="Times New Roman"/>
          <w:color w:val="222222"/>
          <w:szCs w:val="24"/>
          <w:shd w:val="clear" w:color="auto" w:fill="FFFFFF"/>
        </w:rPr>
        <w:t>World Health Organization. (2019). </w:t>
      </w:r>
      <w:r w:rsidRPr="004D24B5">
        <w:rPr>
          <w:rFonts w:cs="Times New Roman"/>
          <w:i/>
          <w:iCs/>
          <w:color w:val="222222"/>
          <w:szCs w:val="24"/>
          <w:shd w:val="clear" w:color="auto" w:fill="FFFFFF"/>
        </w:rPr>
        <w:t>Water, sanitation, hygiene and health: a primer for health professionals</w:t>
      </w:r>
      <w:r w:rsidRPr="004D24B5">
        <w:rPr>
          <w:rFonts w:cs="Times New Roman"/>
          <w:color w:val="222222"/>
          <w:szCs w:val="24"/>
          <w:shd w:val="clear" w:color="auto" w:fill="FFFFFF"/>
        </w:rPr>
        <w:t> (No. WHO/CED/PHE/WSH/19.149). World Health Organization.</w:t>
      </w:r>
    </w:p>
    <w:p w14:paraId="46C7E059" w14:textId="77777777" w:rsidR="000478FB" w:rsidRPr="004D24B5" w:rsidRDefault="000478FB" w:rsidP="000478FB">
      <w:pPr>
        <w:pStyle w:val="ListParagraph"/>
        <w:numPr>
          <w:ilvl w:val="0"/>
          <w:numId w:val="1"/>
        </w:numPr>
        <w:tabs>
          <w:tab w:val="left" w:pos="450"/>
          <w:tab w:val="left" w:pos="630"/>
        </w:tabs>
        <w:spacing w:after="0" w:line="300" w:lineRule="auto"/>
        <w:jc w:val="both"/>
        <w:rPr>
          <w:rFonts w:cs="Times New Roman"/>
          <w:color w:val="222222"/>
          <w:szCs w:val="24"/>
          <w:shd w:val="clear" w:color="auto" w:fill="FFFFFF"/>
        </w:rPr>
      </w:pPr>
      <w:r w:rsidRPr="004D24B5">
        <w:rPr>
          <w:rFonts w:cs="Times New Roman"/>
          <w:color w:val="222222"/>
          <w:szCs w:val="24"/>
          <w:shd w:val="clear" w:color="auto" w:fill="FFFFFF"/>
        </w:rPr>
        <w:t>World Health Organization. (2016). </w:t>
      </w:r>
      <w:r w:rsidRPr="004D24B5">
        <w:rPr>
          <w:rFonts w:cs="Times New Roman"/>
          <w:i/>
          <w:iCs/>
          <w:color w:val="222222"/>
          <w:szCs w:val="24"/>
          <w:shd w:val="clear" w:color="auto" w:fill="FFFFFF"/>
        </w:rPr>
        <w:t xml:space="preserve">Guidelines on core components of infection prevention and control </w:t>
      </w:r>
      <w:proofErr w:type="spellStart"/>
      <w:r w:rsidRPr="004D24B5">
        <w:rPr>
          <w:rFonts w:cs="Times New Roman"/>
          <w:i/>
          <w:iCs/>
          <w:color w:val="222222"/>
          <w:szCs w:val="24"/>
          <w:shd w:val="clear" w:color="auto" w:fill="FFFFFF"/>
        </w:rPr>
        <w:t>programmes</w:t>
      </w:r>
      <w:proofErr w:type="spellEnd"/>
      <w:r w:rsidRPr="004D24B5">
        <w:rPr>
          <w:rFonts w:cs="Times New Roman"/>
          <w:i/>
          <w:iCs/>
          <w:color w:val="222222"/>
          <w:szCs w:val="24"/>
          <w:shd w:val="clear" w:color="auto" w:fill="FFFFFF"/>
        </w:rPr>
        <w:t xml:space="preserve"> at the national and acute health care facility level</w:t>
      </w:r>
      <w:r w:rsidRPr="004D24B5">
        <w:rPr>
          <w:rFonts w:cs="Times New Roman"/>
          <w:color w:val="222222"/>
          <w:szCs w:val="24"/>
          <w:shd w:val="clear" w:color="auto" w:fill="FFFFFF"/>
        </w:rPr>
        <w:t>. World Health Organization.</w:t>
      </w:r>
    </w:p>
    <w:p w14:paraId="7CF69FAE" w14:textId="77777777" w:rsidR="000478FB" w:rsidRPr="004D24B5" w:rsidRDefault="000478FB" w:rsidP="000478FB">
      <w:pPr>
        <w:pStyle w:val="ListParagraph"/>
        <w:numPr>
          <w:ilvl w:val="0"/>
          <w:numId w:val="1"/>
        </w:numPr>
        <w:tabs>
          <w:tab w:val="left" w:pos="450"/>
          <w:tab w:val="left" w:pos="630"/>
        </w:tabs>
        <w:spacing w:after="0" w:line="300" w:lineRule="auto"/>
        <w:jc w:val="both"/>
        <w:rPr>
          <w:rFonts w:cs="Times New Roman"/>
          <w:b/>
          <w:szCs w:val="24"/>
          <w:lang w:val="en-GB"/>
        </w:rPr>
      </w:pP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Mugerwa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, H.,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Byarugaba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, D. K.,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Mpooya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, S.,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Miremba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, P.,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Kalyango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, J. N.,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Karamagi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, C., &amp;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Katamba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>, A. (2013). High Prevalence of tuberculosis infection among medical students in Makerere University, Kampala: results of a cross sectional study. </w:t>
      </w:r>
      <w:r w:rsidRPr="004D24B5">
        <w:rPr>
          <w:rFonts w:cs="Times New Roman"/>
          <w:i/>
          <w:iCs/>
          <w:color w:val="212121"/>
          <w:szCs w:val="24"/>
          <w:shd w:val="clear" w:color="auto" w:fill="FFFFFF"/>
        </w:rPr>
        <w:t xml:space="preserve">Archives of public health = Archives </w:t>
      </w:r>
      <w:proofErr w:type="spellStart"/>
      <w:r w:rsidRPr="004D24B5">
        <w:rPr>
          <w:rFonts w:cs="Times New Roman"/>
          <w:i/>
          <w:iCs/>
          <w:color w:val="212121"/>
          <w:szCs w:val="24"/>
          <w:shd w:val="clear" w:color="auto" w:fill="FFFFFF"/>
        </w:rPr>
        <w:t>belges</w:t>
      </w:r>
      <w:proofErr w:type="spellEnd"/>
      <w:r w:rsidRPr="004D24B5">
        <w:rPr>
          <w:rFonts w:cs="Times New Roman"/>
          <w:i/>
          <w:iCs/>
          <w:color w:val="212121"/>
          <w:szCs w:val="24"/>
          <w:shd w:val="clear" w:color="auto" w:fill="FFFFFF"/>
        </w:rPr>
        <w:t xml:space="preserve"> de </w:t>
      </w:r>
      <w:proofErr w:type="spellStart"/>
      <w:r w:rsidRPr="004D24B5">
        <w:rPr>
          <w:rFonts w:cs="Times New Roman"/>
          <w:i/>
          <w:iCs/>
          <w:color w:val="212121"/>
          <w:szCs w:val="24"/>
          <w:shd w:val="clear" w:color="auto" w:fill="FFFFFF"/>
        </w:rPr>
        <w:t>sante</w:t>
      </w:r>
      <w:proofErr w:type="spellEnd"/>
      <w:r w:rsidRPr="004D24B5">
        <w:rPr>
          <w:rFonts w:cs="Times New Roman"/>
          <w:i/>
          <w:iCs/>
          <w:color w:val="212121"/>
          <w:szCs w:val="24"/>
          <w:shd w:val="clear" w:color="auto" w:fill="FFFFFF"/>
        </w:rPr>
        <w:t xml:space="preserve"> </w:t>
      </w:r>
      <w:proofErr w:type="spellStart"/>
      <w:r w:rsidRPr="004D24B5">
        <w:rPr>
          <w:rFonts w:cs="Times New Roman"/>
          <w:i/>
          <w:iCs/>
          <w:color w:val="212121"/>
          <w:szCs w:val="24"/>
          <w:shd w:val="clear" w:color="auto" w:fill="FFFFFF"/>
        </w:rPr>
        <w:t>publique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>, </w:t>
      </w:r>
      <w:r w:rsidRPr="004D24B5">
        <w:rPr>
          <w:rFonts w:cs="Times New Roman"/>
          <w:i/>
          <w:iCs/>
          <w:color w:val="212121"/>
          <w:szCs w:val="24"/>
          <w:shd w:val="clear" w:color="auto" w:fill="FFFFFF"/>
        </w:rPr>
        <w:t>71</w:t>
      </w:r>
      <w:r w:rsidRPr="004D24B5">
        <w:rPr>
          <w:rFonts w:cs="Times New Roman"/>
          <w:color w:val="212121"/>
          <w:szCs w:val="24"/>
          <w:shd w:val="clear" w:color="auto" w:fill="FFFFFF"/>
        </w:rPr>
        <w:t xml:space="preserve">(1), 7. </w:t>
      </w:r>
      <w:hyperlink r:id="rId5" w:history="1">
        <w:r w:rsidRPr="004D24B5">
          <w:rPr>
            <w:rStyle w:val="Hyperlink"/>
            <w:rFonts w:cs="Times New Roman"/>
            <w:szCs w:val="24"/>
            <w:shd w:val="clear" w:color="auto" w:fill="FFFFFF"/>
          </w:rPr>
          <w:t>https://doi.org/10.1186/0778-7367-71-7</w:t>
        </w:r>
      </w:hyperlink>
    </w:p>
    <w:p w14:paraId="1C58BEE3" w14:textId="77777777" w:rsidR="000478FB" w:rsidRPr="004D24B5" w:rsidRDefault="000478FB" w:rsidP="000478FB">
      <w:pPr>
        <w:pStyle w:val="ListParagraph"/>
        <w:numPr>
          <w:ilvl w:val="0"/>
          <w:numId w:val="1"/>
        </w:numPr>
        <w:tabs>
          <w:tab w:val="left" w:pos="450"/>
          <w:tab w:val="left" w:pos="630"/>
        </w:tabs>
        <w:spacing w:after="0" w:line="300" w:lineRule="auto"/>
        <w:jc w:val="both"/>
        <w:rPr>
          <w:rFonts w:cs="Times New Roman"/>
          <w:b/>
          <w:bCs/>
          <w:szCs w:val="24"/>
        </w:rPr>
      </w:pP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lastRenderedPageBreak/>
        <w:t>Ogwang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M,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Paramatti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D,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Molteni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T,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Ochola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E, Okello TR, Ortiz Salgado JC,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Kayanja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A, Greco C,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Kizza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D,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Gondoni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E,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Okot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J,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Praticò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L,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Granata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V,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Filia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A,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Kellar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Ayugi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H, Greco D. Prevalence of hospital-associated infections can be decreased effectively in developing countries. J Hosp Infect. 2013 Jun;84(2):138-42.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doi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: 10.1016/j.jhin.2013.02.016.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Epub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 2013 May 1. PMID: 23643293.</w:t>
      </w:r>
    </w:p>
    <w:p w14:paraId="139FDADE" w14:textId="77777777" w:rsidR="000478FB" w:rsidRPr="004D24B5" w:rsidRDefault="000478FB" w:rsidP="000478FB">
      <w:pPr>
        <w:pStyle w:val="ListParagraph"/>
        <w:numPr>
          <w:ilvl w:val="0"/>
          <w:numId w:val="1"/>
        </w:numPr>
        <w:tabs>
          <w:tab w:val="left" w:pos="450"/>
          <w:tab w:val="left" w:pos="630"/>
        </w:tabs>
        <w:spacing w:after="0" w:line="300" w:lineRule="auto"/>
        <w:jc w:val="both"/>
        <w:rPr>
          <w:rFonts w:cs="Times New Roman"/>
          <w:b/>
          <w:szCs w:val="24"/>
          <w:lang w:val="en-GB"/>
        </w:rPr>
      </w:pPr>
      <w:r w:rsidRPr="004D24B5">
        <w:rPr>
          <w:rFonts w:cs="Times New Roman"/>
          <w:color w:val="212121"/>
          <w:szCs w:val="24"/>
          <w:shd w:val="clear" w:color="auto" w:fill="FFFFFF"/>
        </w:rPr>
        <w:t xml:space="preserve">Bagheri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Nejad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, S.,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Allegranzi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 xml:space="preserve">, B., Syed, S. B., Ellis, B., &amp; </w:t>
      </w:r>
      <w:proofErr w:type="spellStart"/>
      <w:r w:rsidRPr="004D24B5">
        <w:rPr>
          <w:rFonts w:cs="Times New Roman"/>
          <w:color w:val="212121"/>
          <w:szCs w:val="24"/>
          <w:shd w:val="clear" w:color="auto" w:fill="FFFFFF"/>
        </w:rPr>
        <w:t>Pittet</w:t>
      </w:r>
      <w:proofErr w:type="spellEnd"/>
      <w:r w:rsidRPr="004D24B5">
        <w:rPr>
          <w:rFonts w:cs="Times New Roman"/>
          <w:color w:val="212121"/>
          <w:szCs w:val="24"/>
          <w:shd w:val="clear" w:color="auto" w:fill="FFFFFF"/>
        </w:rPr>
        <w:t>, D. (2011). Health-care-associated infection in Africa: a systematic review. </w:t>
      </w:r>
      <w:r w:rsidRPr="004D24B5">
        <w:rPr>
          <w:rFonts w:cs="Times New Roman"/>
          <w:i/>
          <w:iCs/>
          <w:color w:val="212121"/>
          <w:szCs w:val="24"/>
          <w:shd w:val="clear" w:color="auto" w:fill="FFFFFF"/>
        </w:rPr>
        <w:t>Bulletin of the World Health Organization</w:t>
      </w:r>
      <w:r w:rsidRPr="004D24B5">
        <w:rPr>
          <w:rFonts w:cs="Times New Roman"/>
          <w:color w:val="212121"/>
          <w:szCs w:val="24"/>
          <w:shd w:val="clear" w:color="auto" w:fill="FFFFFF"/>
        </w:rPr>
        <w:t>, </w:t>
      </w:r>
      <w:r w:rsidRPr="004D24B5">
        <w:rPr>
          <w:rFonts w:cs="Times New Roman"/>
          <w:i/>
          <w:iCs/>
          <w:color w:val="212121"/>
          <w:szCs w:val="24"/>
          <w:shd w:val="clear" w:color="auto" w:fill="FFFFFF"/>
        </w:rPr>
        <w:t>89</w:t>
      </w:r>
      <w:r w:rsidRPr="004D24B5">
        <w:rPr>
          <w:rFonts w:cs="Times New Roman"/>
          <w:color w:val="212121"/>
          <w:szCs w:val="24"/>
          <w:shd w:val="clear" w:color="auto" w:fill="FFFFFF"/>
        </w:rPr>
        <w:t>(10), 757–765. https://doi.org/10.2471/BLT.11.088179</w:t>
      </w:r>
    </w:p>
    <w:p w14:paraId="769C264D" w14:textId="77777777" w:rsidR="000478FB" w:rsidRPr="0008131C" w:rsidRDefault="000478FB" w:rsidP="000478FB">
      <w:pPr>
        <w:spacing w:after="0" w:line="360" w:lineRule="auto"/>
        <w:jc w:val="both"/>
        <w:rPr>
          <w:rFonts w:cs="Times New Roman"/>
          <w:b/>
          <w:szCs w:val="24"/>
          <w:lang w:val="en-GB"/>
        </w:rPr>
      </w:pPr>
    </w:p>
    <w:p w14:paraId="5F7645E4" w14:textId="77777777" w:rsidR="000478FB" w:rsidRPr="004B6D87" w:rsidRDefault="000478FB" w:rsidP="000478F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cs="Times New Roman"/>
          <w:b/>
          <w:bCs/>
          <w:color w:val="000000"/>
          <w:sz w:val="10"/>
          <w:szCs w:val="24"/>
        </w:rPr>
      </w:pPr>
    </w:p>
    <w:p w14:paraId="576427A6" w14:textId="77777777" w:rsidR="000478FB" w:rsidRDefault="000478FB" w:rsidP="000478F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bCs/>
          <w:color w:val="000000"/>
          <w:szCs w:val="24"/>
        </w:rPr>
      </w:pPr>
      <w:r>
        <w:rPr>
          <w:rFonts w:cs="Times New Roman"/>
          <w:b/>
          <w:bCs/>
          <w:color w:val="000000"/>
          <w:szCs w:val="24"/>
        </w:rPr>
        <w:t xml:space="preserve"> Recommended </w:t>
      </w:r>
      <w:r w:rsidRPr="00E63992">
        <w:rPr>
          <w:rFonts w:cs="Times New Roman"/>
          <w:b/>
          <w:bCs/>
          <w:color w:val="000000"/>
          <w:szCs w:val="24"/>
        </w:rPr>
        <w:t>Reference Materials</w:t>
      </w:r>
    </w:p>
    <w:p w14:paraId="3851F3C1" w14:textId="77777777" w:rsidR="000478FB" w:rsidRPr="0008131C" w:rsidRDefault="000478FB" w:rsidP="000478F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jc w:val="both"/>
        <w:rPr>
          <w:rFonts w:cs="Times New Roman"/>
          <w:b/>
          <w:bCs/>
          <w:color w:val="000000"/>
          <w:szCs w:val="24"/>
        </w:rPr>
      </w:pPr>
      <w:r w:rsidRPr="0008131C">
        <w:rPr>
          <w:rFonts w:cs="Times New Roman"/>
          <w:color w:val="000000"/>
          <w:szCs w:val="24"/>
        </w:rPr>
        <w:t>Ministry of Health Uganda, (2013). Uganda National In</w:t>
      </w:r>
      <w:r>
        <w:rPr>
          <w:rFonts w:cs="Times New Roman"/>
          <w:color w:val="000000"/>
          <w:szCs w:val="24"/>
        </w:rPr>
        <w:t xml:space="preserve">fection Prevention and Control </w:t>
      </w:r>
      <w:r w:rsidRPr="0008131C">
        <w:rPr>
          <w:rFonts w:cs="Times New Roman"/>
          <w:color w:val="000000"/>
          <w:szCs w:val="24"/>
        </w:rPr>
        <w:t xml:space="preserve">Guidelines. </w:t>
      </w:r>
      <w:r w:rsidRPr="0008131C">
        <w:rPr>
          <w:rFonts w:cs="Times New Roman"/>
          <w:color w:val="000000"/>
          <w:szCs w:val="24"/>
        </w:rPr>
        <w:tab/>
        <w:t xml:space="preserve">Retrieved </w:t>
      </w:r>
      <w:r w:rsidRPr="0008131C"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 xml:space="preserve">from </w:t>
      </w:r>
      <w:r w:rsidRPr="0008131C">
        <w:rPr>
          <w:rFonts w:cs="Times New Roman"/>
          <w:color w:val="000000"/>
          <w:szCs w:val="24"/>
        </w:rPr>
        <w:t>http://library.health.go.ug/sites/default/files/resources/Uganda%20National%20Infection%20Prevention%20and%20Control%20Guidelines%20Dec%202013.pdf</w:t>
      </w:r>
    </w:p>
    <w:p w14:paraId="3B0114E5" w14:textId="77777777" w:rsidR="000478FB" w:rsidRPr="0008131C" w:rsidRDefault="000478FB" w:rsidP="000478FB">
      <w:pPr>
        <w:pStyle w:val="Bibliography"/>
        <w:numPr>
          <w:ilvl w:val="0"/>
          <w:numId w:val="2"/>
        </w:numPr>
        <w:spacing w:after="0" w:line="300" w:lineRule="auto"/>
        <w:jc w:val="both"/>
        <w:rPr>
          <w:rFonts w:cs="Times New Roman"/>
          <w:noProof/>
          <w:szCs w:val="24"/>
        </w:rPr>
      </w:pPr>
      <w:r w:rsidRPr="0008131C">
        <w:rPr>
          <w:rFonts w:cs="Times New Roman"/>
          <w:noProof/>
          <w:szCs w:val="24"/>
        </w:rPr>
        <w:t xml:space="preserve">Ministry of Health Uganda. (2007). </w:t>
      </w:r>
      <w:r w:rsidRPr="0008131C">
        <w:rPr>
          <w:rFonts w:cs="Times New Roman"/>
          <w:i/>
          <w:iCs/>
          <w:noProof/>
          <w:szCs w:val="24"/>
        </w:rPr>
        <w:t>The National Policy Guidelines on Post Exposure Prophylaxis for HIV,Hepatitis B and Hepatitis C.</w:t>
      </w:r>
      <w:r w:rsidRPr="0008131C">
        <w:rPr>
          <w:rFonts w:cs="Times New Roman"/>
          <w:noProof/>
          <w:szCs w:val="24"/>
        </w:rPr>
        <w:t xml:space="preserve"> Kampala: Ministry of Health.</w:t>
      </w:r>
    </w:p>
    <w:p w14:paraId="338B709B" w14:textId="77777777" w:rsidR="000478FB" w:rsidRPr="0008131C" w:rsidRDefault="000478FB" w:rsidP="000478FB">
      <w:pPr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cs="Times New Roman"/>
          <w:szCs w:val="24"/>
        </w:rPr>
      </w:pPr>
      <w:r w:rsidRPr="0008131C">
        <w:rPr>
          <w:rFonts w:cs="Times New Roman"/>
          <w:szCs w:val="24"/>
        </w:rPr>
        <w:t>Ministry of Health, Kenya National Infection Prevention and Control Policy for Health Care Services Third Edition Nairobi, Kenya: Government of Kenya, May 2021</w:t>
      </w:r>
    </w:p>
    <w:p w14:paraId="076BB4DE" w14:textId="77777777" w:rsidR="000478FB" w:rsidRPr="0008131C" w:rsidRDefault="000478FB" w:rsidP="000478FB">
      <w:pPr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cs="Times New Roman"/>
          <w:szCs w:val="24"/>
        </w:rPr>
      </w:pPr>
      <w:r w:rsidRPr="0008131C">
        <w:rPr>
          <w:rFonts w:cs="Times New Roman"/>
          <w:noProof/>
          <w:szCs w:val="24"/>
        </w:rPr>
        <w:t xml:space="preserve">World Health Organization. (2017, September). </w:t>
      </w:r>
      <w:r w:rsidRPr="0008131C">
        <w:rPr>
          <w:rFonts w:cs="Times New Roman"/>
          <w:i/>
          <w:iCs/>
          <w:noProof/>
          <w:szCs w:val="24"/>
        </w:rPr>
        <w:t>One Health</w:t>
      </w:r>
      <w:r w:rsidRPr="0008131C">
        <w:rPr>
          <w:rFonts w:cs="Times New Roman"/>
          <w:noProof/>
          <w:szCs w:val="24"/>
        </w:rPr>
        <w:t xml:space="preserve">. Retrieved from </w:t>
      </w:r>
      <w:hyperlink r:id="rId6" w:history="1">
        <w:r w:rsidRPr="0008131C">
          <w:rPr>
            <w:rStyle w:val="Hyperlink"/>
            <w:rFonts w:cs="Times New Roman"/>
            <w:noProof/>
            <w:szCs w:val="24"/>
          </w:rPr>
          <w:t>https://www.who.int/news-room/questions-and-answers/item/one-health</w:t>
        </w:r>
      </w:hyperlink>
    </w:p>
    <w:p w14:paraId="4A0651DC" w14:textId="77777777" w:rsidR="000478FB" w:rsidRPr="0008131C" w:rsidRDefault="000478FB" w:rsidP="000478FB">
      <w:pPr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cs="Times New Roman"/>
          <w:szCs w:val="24"/>
        </w:rPr>
      </w:pPr>
      <w:r w:rsidRPr="0008131C">
        <w:rPr>
          <w:rFonts w:cs="Times New Roman"/>
          <w:noProof/>
          <w:szCs w:val="24"/>
        </w:rPr>
        <w:t xml:space="preserve">World Health Organization. (2021, June). </w:t>
      </w:r>
      <w:r w:rsidRPr="0008131C">
        <w:rPr>
          <w:rFonts w:cs="Times New Roman"/>
          <w:i/>
          <w:iCs/>
          <w:noProof/>
          <w:szCs w:val="24"/>
        </w:rPr>
        <w:t>Supporting Countries with National Action Plan Implemenation</w:t>
      </w:r>
      <w:r w:rsidRPr="0008131C">
        <w:rPr>
          <w:rFonts w:cs="Times New Roman"/>
          <w:noProof/>
          <w:szCs w:val="24"/>
        </w:rPr>
        <w:t xml:space="preserve">. Retrieved </w:t>
      </w:r>
      <w:r w:rsidRPr="0008131C">
        <w:rPr>
          <w:rFonts w:cs="Times New Roman"/>
          <w:noProof/>
          <w:szCs w:val="24"/>
        </w:rPr>
        <w:tab/>
        <w:t xml:space="preserve">from </w:t>
      </w:r>
      <w:hyperlink r:id="rId7" w:history="1">
        <w:r w:rsidRPr="0008131C">
          <w:rPr>
            <w:rStyle w:val="Hyperlink"/>
            <w:rFonts w:cs="Times New Roman"/>
            <w:noProof/>
            <w:szCs w:val="24"/>
          </w:rPr>
          <w:t>https://www.who.int/activities/supporting-countries-with-national-action-plan-implementation/docs/default-source/antimicrobial-resistance/amr-spc-npm/nap-support-tools/nap-amr-sample-template/word/NAP-AMR-Sample-Template-Word-(English)</w:t>
        </w:r>
        <w:r w:rsidRPr="0008131C">
          <w:rPr>
            <w:rStyle w:val="Hyperlink"/>
            <w:rFonts w:cs="Times New Roman"/>
            <w:szCs w:val="24"/>
          </w:rPr>
          <w:t>)</w:t>
        </w:r>
      </w:hyperlink>
      <w:r w:rsidRPr="0008131C">
        <w:rPr>
          <w:rFonts w:cs="Times New Roman"/>
          <w:szCs w:val="24"/>
        </w:rPr>
        <w:t>.</w:t>
      </w:r>
    </w:p>
    <w:p w14:paraId="6F7F3B03" w14:textId="77777777" w:rsidR="000478FB" w:rsidRPr="0008131C" w:rsidRDefault="000478FB" w:rsidP="000478FB">
      <w:pPr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cs="Times New Roman"/>
          <w:szCs w:val="24"/>
        </w:rPr>
      </w:pPr>
      <w:r w:rsidRPr="0008131C">
        <w:rPr>
          <w:rFonts w:cs="Times New Roman"/>
          <w:color w:val="222222"/>
          <w:szCs w:val="24"/>
          <w:shd w:val="clear" w:color="auto" w:fill="FFFFFF"/>
        </w:rPr>
        <w:t>Brown, K., &amp; Rasmussen, K. (2019). The Sustainable Development Goals in 2019: People, planet, prosperity in focus. </w:t>
      </w:r>
      <w:r w:rsidRPr="0008131C">
        <w:rPr>
          <w:rFonts w:cs="Times New Roman"/>
          <w:i/>
          <w:iCs/>
          <w:color w:val="222222"/>
          <w:szCs w:val="24"/>
          <w:shd w:val="clear" w:color="auto" w:fill="FFFFFF"/>
        </w:rPr>
        <w:t>United Nations Foundation</w:t>
      </w:r>
      <w:r w:rsidRPr="0008131C">
        <w:rPr>
          <w:rFonts w:cs="Times New Roman"/>
          <w:color w:val="222222"/>
          <w:szCs w:val="24"/>
          <w:shd w:val="clear" w:color="auto" w:fill="FFFFFF"/>
        </w:rPr>
        <w:t>, </w:t>
      </w:r>
      <w:r w:rsidRPr="0008131C">
        <w:rPr>
          <w:rFonts w:cs="Times New Roman"/>
          <w:i/>
          <w:iCs/>
          <w:color w:val="222222"/>
          <w:szCs w:val="24"/>
          <w:shd w:val="clear" w:color="auto" w:fill="FFFFFF"/>
        </w:rPr>
        <w:t>9</w:t>
      </w:r>
      <w:r w:rsidRPr="0008131C">
        <w:rPr>
          <w:rFonts w:cs="Times New Roman"/>
          <w:color w:val="222222"/>
          <w:szCs w:val="24"/>
          <w:shd w:val="clear" w:color="auto" w:fill="FFFFFF"/>
        </w:rPr>
        <w:t>, 2019.</w:t>
      </w:r>
    </w:p>
    <w:p w14:paraId="76944642" w14:textId="77777777" w:rsidR="004B2B29" w:rsidRDefault="004B2B29"/>
    <w:sectPr w:rsidR="004B2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509D1"/>
    <w:multiLevelType w:val="hybridMultilevel"/>
    <w:tmpl w:val="538EDAB8"/>
    <w:lvl w:ilvl="0" w:tplc="41907D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66FA1"/>
    <w:multiLevelType w:val="hybridMultilevel"/>
    <w:tmpl w:val="C212DB74"/>
    <w:lvl w:ilvl="0" w:tplc="AF18CC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8FB"/>
    <w:rsid w:val="000478FB"/>
    <w:rsid w:val="004B2B29"/>
    <w:rsid w:val="00C55B5E"/>
    <w:rsid w:val="00DA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5B9739"/>
  <w15:chartTrackingRefBased/>
  <w15:docId w15:val="{C1206B59-9626-419C-8D7B-8DB98D4A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78FB"/>
    <w:pPr>
      <w:spacing w:after="200" w:line="276" w:lineRule="auto"/>
    </w:pPr>
    <w:rPr>
      <w:rFonts w:ascii="Times New Roman" w:eastAsia="Calibri" w:hAnsi="Times New Roman" w:cs="Tung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5B5E"/>
    <w:pPr>
      <w:keepNext/>
      <w:keepLines/>
      <w:spacing w:before="40" w:after="0" w:line="240" w:lineRule="auto"/>
      <w:outlineLvl w:val="1"/>
    </w:pPr>
    <w:rPr>
      <w:b/>
      <w:color w:val="000000" w:themeColor="tex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E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link w:val="Style2Char"/>
    <w:autoRedefine/>
    <w:qFormat/>
    <w:rsid w:val="00DA3EC6"/>
  </w:style>
  <w:style w:type="character" w:customStyle="1" w:styleId="Style2Char">
    <w:name w:val="Style2 Char"/>
    <w:basedOn w:val="Heading1Char"/>
    <w:link w:val="Style2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yle3">
    <w:name w:val="Style3"/>
    <w:basedOn w:val="Heading1"/>
    <w:link w:val="Style3Char"/>
    <w:qFormat/>
    <w:rsid w:val="00DA3EC6"/>
  </w:style>
  <w:style w:type="character" w:customStyle="1" w:styleId="Style3Char">
    <w:name w:val="Style3 Char"/>
    <w:basedOn w:val="Heading1Char"/>
    <w:link w:val="Style3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EC6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2Char">
    <w:name w:val="Heading 2 Char"/>
    <w:link w:val="Heading2"/>
    <w:uiPriority w:val="9"/>
    <w:rsid w:val="00C55B5E"/>
    <w:rPr>
      <w:rFonts w:ascii="Times New Roman" w:hAnsi="Times New Roman"/>
      <w:b/>
      <w:color w:val="000000" w:themeColor="tex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478FB"/>
    <w:pPr>
      <w:ind w:left="720"/>
      <w:contextualSpacing/>
    </w:pPr>
  </w:style>
  <w:style w:type="character" w:styleId="Hyperlink">
    <w:name w:val="Hyperlink"/>
    <w:uiPriority w:val="99"/>
    <w:unhideWhenUsed/>
    <w:rsid w:val="000478FB"/>
    <w:rPr>
      <w:color w:val="0000FF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047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ho.int/activities/supporting-countries-with-national-action-plan-implementation/docs/default-source/antimicrobial-resistance/amr-spc-npm/nap-support-tools/nap-amr-sample-template/word/NAP-AMR-Sample-Template-Word-(English)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ho.int/news-room/questions-and-answers/item/one-health" TargetMode="External"/><Relationship Id="rId5" Type="http://schemas.openxmlformats.org/officeDocument/2006/relationships/hyperlink" Target="https://doi.org/10.1186/0778-7367-71-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3689</Characters>
  <Application>Microsoft Office Word</Application>
  <DocSecurity>0</DocSecurity>
  <Lines>62</Lines>
  <Paragraphs>21</Paragraphs>
  <ScaleCrop>false</ScaleCrop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Salvias</dc:creator>
  <cp:keywords/>
  <dc:description/>
  <cp:lastModifiedBy>Salvias</cp:lastModifiedBy>
  <cp:revision>1</cp:revision>
  <dcterms:created xsi:type="dcterms:W3CDTF">2024-04-16T10:32:00Z</dcterms:created>
  <dcterms:modified xsi:type="dcterms:W3CDTF">2024-04-16T10:34:00Z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6e80ac7e-b74e-4930-b337-84b5f3fe6f61</vt:lpwstr>
  </property>
</Properties>
</file>